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7" w:rsidRPr="00E569D7" w:rsidRDefault="00E569D7" w:rsidP="00E569D7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E569D7">
        <w:rPr>
          <w:noProof/>
          <w:sz w:val="20"/>
          <w:szCs w:val="20"/>
          <w:lang w:eastAsia="ru-RU"/>
        </w:rPr>
        <w:drawing>
          <wp:inline distT="0" distB="0" distL="0" distR="0" wp14:anchorId="61A1DFD7" wp14:editId="1A152A9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D7" w:rsidRPr="00E569D7" w:rsidRDefault="00E569D7" w:rsidP="00E569D7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E569D7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569D7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E569D7" w:rsidRPr="00E569D7" w:rsidRDefault="00E569D7" w:rsidP="00E569D7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E569D7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E569D7" w:rsidRPr="00E569D7" w:rsidRDefault="00E569D7" w:rsidP="00E569D7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E569D7" w:rsidRPr="00E569D7" w:rsidRDefault="00E569D7" w:rsidP="00E569D7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E569D7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13.11.2020</w:t>
      </w:r>
      <w:r w:rsidRPr="00E569D7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1097</w:t>
      </w:r>
      <w:r w:rsidRPr="00E569D7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6A20A4" w:rsidRPr="00BC08A5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6A20A4" w:rsidRPr="00BC08A5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BC08A5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7D3873" w:rsidRPr="00BC08A5">
        <w:rPr>
          <w:rFonts w:ascii="Liberation Serif" w:hAnsi="Liberation Serif"/>
          <w:b/>
          <w:i/>
          <w:sz w:val="28"/>
          <w:szCs w:val="28"/>
          <w:lang w:eastAsia="ru-RU"/>
        </w:rPr>
        <w:t>1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7D3873" w:rsidRPr="00BC08A5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7D3873" w:rsidRPr="00BC08A5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Pr="00BC08A5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№ 839-ПА,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br/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(с изменениями),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принимая во внимание Прогноз социально-экономического развития Свердловской области на среднесрочный период 2020-2022 годов, одобренный Постановлением Правительства Свердловской области от 30.10.2019 № 743-ПП, руководствуясь 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BC08A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овского городского округа на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1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год и плановый период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(Приложение).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2.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Финансовому управлению Администрации Артемовского городского округа (Бачурина О.Г.) учесть прогноз социально-экономического развития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1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при формировании проекта бюджета </w:t>
      </w:r>
      <w:r w:rsidRPr="00BC08A5">
        <w:rPr>
          <w:rFonts w:ascii="Liberation Serif" w:hAnsi="Liberation Serif"/>
          <w:sz w:val="28"/>
          <w:szCs w:val="28"/>
          <w:lang w:eastAsia="ru-RU"/>
        </w:rPr>
        <w:lastRenderedPageBreak/>
        <w:t>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1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7D3873" w:rsidRPr="00BC08A5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годов. 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 и разместить на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6F0E7D" w:rsidRPr="00BC08A5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.артемовский-право.рф</w:t>
        </w:r>
      </w:hyperlink>
      <w:r w:rsidR="006F0E7D" w:rsidRPr="00BC08A5">
        <w:rPr>
          <w:rFonts w:ascii="Liberation Serif" w:hAnsi="Liberation Serif"/>
          <w:sz w:val="28"/>
          <w:szCs w:val="28"/>
          <w:lang w:eastAsia="ru-RU"/>
        </w:rPr>
        <w:t>), на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>
        <w:rPr>
          <w:rFonts w:ascii="Liberation Serif" w:hAnsi="Liberation Serif"/>
          <w:sz w:val="28"/>
          <w:szCs w:val="28"/>
          <w:lang w:eastAsia="ru-RU"/>
        </w:rPr>
        <w:t>возложить на п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>ерв</w:t>
      </w:r>
      <w:r w:rsidR="00395451">
        <w:rPr>
          <w:rFonts w:ascii="Liberation Serif" w:hAnsi="Liberation Serif"/>
          <w:sz w:val="28"/>
          <w:szCs w:val="28"/>
          <w:lang w:eastAsia="ru-RU"/>
        </w:rPr>
        <w:t>ого заместителя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 xml:space="preserve"> главы Администрации Артемовского городского округа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Черемных</w:t>
      </w:r>
      <w:r w:rsidR="00395451" w:rsidRPr="0039545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Н.А.</w:t>
      </w:r>
    </w:p>
    <w:p w:rsidR="00A01D44" w:rsidRPr="00BC08A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BC08A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BC08A5" w:rsidTr="00395451">
        <w:tc>
          <w:tcPr>
            <w:tcW w:w="5353" w:type="dxa"/>
            <w:hideMark/>
          </w:tcPr>
          <w:p w:rsidR="007D3873" w:rsidRPr="00BC08A5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BC08A5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BC08A5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A01D44" w:rsidRDefault="00A01D44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E569D7" w:rsidSect="00750105">
          <w:headerReference w:type="default" r:id="rId9"/>
          <w:pgSz w:w="11906" w:h="16838"/>
          <w:pgMar w:top="1134" w:right="991" w:bottom="1276" w:left="1843" w:header="708" w:footer="708" w:gutter="0"/>
          <w:cols w:space="708"/>
          <w:titlePg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11"/>
        <w:gridCol w:w="7333"/>
      </w:tblGrid>
      <w:tr w:rsidR="00E569D7" w:rsidRPr="00E569D7" w:rsidTr="00E569D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Приложение </w:t>
            </w:r>
          </w:p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УТВЕРЖДЕНО</w:t>
            </w:r>
          </w:p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постановлением Администрации Артемовского городского округа от 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13.11.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2020 № 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1097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-ПА</w:t>
            </w:r>
          </w:p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</w:tr>
    </w:tbl>
    <w:p w:rsidR="00E569D7" w:rsidRPr="00E569D7" w:rsidRDefault="00E569D7" w:rsidP="00E569D7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E569D7" w:rsidRPr="00E569D7" w:rsidRDefault="00E569D7" w:rsidP="00E569D7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569D7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Прогноз социально-экономического развития</w:t>
      </w:r>
    </w:p>
    <w:p w:rsidR="00E569D7" w:rsidRPr="00E569D7" w:rsidRDefault="00E569D7" w:rsidP="00E569D7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569D7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 на 2021 год и плановый период 2022 и 2023 годов*</w:t>
      </w:r>
    </w:p>
    <w:p w:rsidR="00E569D7" w:rsidRPr="00E569D7" w:rsidRDefault="00E569D7" w:rsidP="00E569D7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7"/>
        <w:gridCol w:w="1611"/>
        <w:gridCol w:w="1266"/>
        <w:gridCol w:w="1266"/>
        <w:gridCol w:w="1266"/>
        <w:gridCol w:w="1294"/>
        <w:gridCol w:w="1348"/>
      </w:tblGrid>
      <w:tr w:rsidR="00E569D7" w:rsidRPr="00E569D7" w:rsidTr="00E569D7">
        <w:trPr>
          <w:trHeight w:val="300"/>
        </w:trPr>
        <w:tc>
          <w:tcPr>
            <w:tcW w:w="6487" w:type="dxa"/>
            <w:vMerge w:val="restart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611" w:type="dxa"/>
            <w:vMerge w:val="restart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440" w:type="dxa"/>
            <w:gridSpan w:val="5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Годы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vMerge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94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348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2023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vMerge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266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1294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1348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Прогноз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I. Финансы</w:t>
            </w:r>
          </w:p>
        </w:tc>
      </w:tr>
      <w:tr w:rsidR="00E569D7" w:rsidRPr="00E569D7" w:rsidTr="00E569D7">
        <w:trPr>
          <w:trHeight w:val="315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</w:t>
            </w: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Доходы, всего 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(стр. 1.12 + стр. 1.13)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2244,67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2472,23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2160,26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2206,43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2296,12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Прибыль прибыльных организаций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66,50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68,00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71,00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75,00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 75,00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1.1.1. сальдо прибылей и убытков (справочно)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30,00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35,00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40,00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45,00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45,00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Амортизационные отчисления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143,00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145,00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145,00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145,00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 145,00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Налог на доходы физических лиц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545,82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410,41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578,03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721,51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779,95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Единый налог на вмененный доход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17,35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13,80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3,75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1.4.1 налоговая база (сумма исчисленного 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вмененного дохода)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Миллион 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 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1.5. Налог с патентной системы налогообложения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0,92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1,04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0,91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0,95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1,01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1.6. Земельный налог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14,09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20,97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14,19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14,19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14,19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 Единый сельскохозяйственный налог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3,77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1,87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1,15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1,18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1,22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1.7.1. налоговая база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1.8. Налог на имущество физических лиц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13,99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13,72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12,82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13,62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16,11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1.9. Прочие налоги и сборы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82,98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82,44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119,40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126,20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133,17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1.10. Неналоговые доходы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27,48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22,82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22,05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22,68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23,39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1.11. Прочие доходы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 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1.12. Итого доходов (сумма строк 1.3,1.4, 1.5, 1.6, 1.7, 1.8, 1.9, 1.10,1.11)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706,40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567,07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752,30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900,33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969,04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1.13. Средства, получаемые  от вышестоящих уровней власти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1538,27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1998,71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1384,87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1316,25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1318,90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Финансирование муниципальных программ (справочно)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2271,06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2418,78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2090,08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1952,16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1994,67   </w:t>
            </w:r>
          </w:p>
        </w:tc>
      </w:tr>
      <w:tr w:rsidR="00E569D7" w:rsidRPr="00E569D7" w:rsidTr="00E569D7">
        <w:trPr>
          <w:trHeight w:val="87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5,38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  3.1. Земельный налог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5,32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5,98  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3.2. Налог на имущество физических лиц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0,06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-     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II. Производственная деятельность </w:t>
            </w:r>
          </w:p>
        </w:tc>
      </w:tr>
      <w:tr w:rsidR="00E569D7" w:rsidRPr="00E569D7" w:rsidTr="00E569D7">
        <w:trPr>
          <w:trHeight w:val="315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Оборот  организаций (по полному кругу) по видам экономической деятельности*, всего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12324,05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12047,75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12296,22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12594,92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12895,80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 Сельское хозяйство, охота и лесное хозяйство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715,00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722,15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736,59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758,69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796,63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Добыча полезных ископаемых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Обрабатывающие производства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3407,01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3645,50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4010,05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4411,06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5293,27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4641,73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4688,15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4735,03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4782,38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4878,03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1.5. Cтроительство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325,50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1.6. Оптовая и розничная торговля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2932,66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2786,03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2841,75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2927,00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3044,08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1.7. Транспортировка и хранение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465,80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451,83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456,34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460,91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465,52</w:t>
            </w:r>
          </w:p>
        </w:tc>
      </w:tr>
      <w:tr w:rsidR="00E569D7" w:rsidRPr="00E569D7" w:rsidTr="00E569D7">
        <w:trPr>
          <w:trHeight w:val="39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6,85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6,90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6,95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8,00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III. Инвестиционная деятельность</w:t>
            </w:r>
          </w:p>
        </w:tc>
      </w:tr>
      <w:tr w:rsidR="00E569D7" w:rsidRPr="00E569D7" w:rsidTr="00E569D7">
        <w:trPr>
          <w:trHeight w:val="54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841,40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925,50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555,30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560,85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566,46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из них по отраслям экономики: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 Сельское хозяйство, охота и лесное хозяйство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10,20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8,50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Добыча полезных ископаемых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Обрабатывающие производства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240,51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244,31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93,00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98,00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241,48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243,89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246,33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258,65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271,58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1.5. Cтроительство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1.6. Оптовая и розничная торговля, сфера услуг и развлечений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43,98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1.7 Транспортировка и хранение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72,94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58,40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65,60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71,50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73,70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9,00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IV. Денежные доходы населения </w:t>
            </w:r>
          </w:p>
        </w:tc>
      </w:tr>
      <w:tr w:rsidR="00E569D7" w:rsidRPr="00E569D7" w:rsidTr="00E569D7">
        <w:trPr>
          <w:trHeight w:val="315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Доходы населения муниципального образования, всего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10715,87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10445,69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10717,03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11029,94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11355,87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из них: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 Доходы от предпринимательской деятельности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311,00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233,30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248,80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279,90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314,10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1.2.  Оплата труда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5930,57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5693,35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5904,00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6140,16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6385,77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1.3. Социальные выплаты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4474,30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4519,04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4564,23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4609,88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4656,00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>2. Среднедушевые денежные доходы (в месяц)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Рублей на человека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16239,71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15182,45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16341,54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16651,72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16947,24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Рублей в месяц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22826,77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21160,52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23342,26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23202,30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23767,49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V. Потребительский рынок 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Оборот розничной торговли в ценах соответствующего периода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2688,70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2548,88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2625,35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2677,86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2731,42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Оборот общественного питания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Миллион рублей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82,8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84,46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106,84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VI. Демографические показатели 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 Численность и состав населения 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1.1. Численность постоянного населения</w:t>
            </w: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муниципального образования (на начало года)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55465,00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54966,00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54700,00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54700,00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54800,00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55844,00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55215,00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54957,00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54700,00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54750,00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3891,00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3893,00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3800,00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1.4. Численность детей  и подростков в возрасте 8-17 лет (школьного возраста)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5639,00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5772,00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5800,00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1.5. Численность населения в трудоспособном  возрасте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27113,00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28250,00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 28300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1.6. Численность населения старше трудоспособного возраста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16839,00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17050,00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17100,00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17100,00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 17150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Естественное движение</w:t>
            </w:r>
          </w:p>
        </w:tc>
      </w:tr>
      <w:tr w:rsidR="00E569D7" w:rsidRPr="00E569D7" w:rsidTr="00E569D7">
        <w:trPr>
          <w:trHeight w:val="315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2.1. Число родившихся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520,00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540,00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560,00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570,00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2.2. Число умерших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891,00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840,00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lastRenderedPageBreak/>
              <w:t>VII. Развитие социальной сферы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730,00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525,00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203,00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203,00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180,00</w:t>
            </w:r>
          </w:p>
        </w:tc>
      </w:tr>
      <w:tr w:rsidR="00E569D7" w:rsidRPr="00E569D7" w:rsidTr="00E569D7">
        <w:trPr>
          <w:trHeight w:val="9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 на 10 тысяч человек населения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21,20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40,60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41,50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42,40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42,40</w:t>
            </w:r>
          </w:p>
        </w:tc>
      </w:tr>
      <w:tr w:rsidR="00E569D7" w:rsidRPr="00E569D7" w:rsidTr="00E569D7">
        <w:trPr>
          <w:trHeight w:val="9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3.Обеспеченность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Единиц на 10 тысяч человек населения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83,10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86,50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87,40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88,30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88,30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74,00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76,00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77,00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77,00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6. Доступность дошкольного образования для детей в возрасте от полутора до трех лет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94,02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100,00</w:t>
            </w:r>
          </w:p>
        </w:tc>
      </w:tr>
      <w:tr w:rsidR="00E569D7" w:rsidRPr="00E569D7" w:rsidTr="00E569D7">
        <w:trPr>
          <w:trHeight w:val="300"/>
        </w:trPr>
        <w:tc>
          <w:tcPr>
            <w:tcW w:w="14538" w:type="dxa"/>
            <w:gridSpan w:val="7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b/>
                <w:bCs/>
                <w:sz w:val="28"/>
                <w:szCs w:val="28"/>
                <w:lang w:eastAsia="en-US"/>
              </w:rPr>
              <w:t>VIII. Трудовые ресурсы</w:t>
            </w:r>
          </w:p>
        </w:tc>
      </w:tr>
      <w:tr w:rsidR="00E569D7" w:rsidRPr="00E569D7" w:rsidTr="00E569D7">
        <w:trPr>
          <w:trHeight w:val="6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22786,00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21191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21403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21831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22704</w:t>
            </w:r>
          </w:p>
        </w:tc>
      </w:tr>
      <w:tr w:rsidR="00E569D7" w:rsidRPr="00E569D7" w:rsidTr="00E569D7">
        <w:trPr>
          <w:trHeight w:val="9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2.Потребность организаций в подготовке специалистов и квалифицированных рабочих по уровням образования  в рамках программ развития организаций и инвестиционных проектов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 50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2.1.среднее профессиональное образование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 2.1.1 в том числе технического профиля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15,00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2.2. высшее образование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20,00</w:t>
            </w:r>
          </w:p>
        </w:tc>
      </w:tr>
      <w:tr w:rsidR="00E569D7" w:rsidRPr="00E569D7" w:rsidTr="00E569D7">
        <w:trPr>
          <w:trHeight w:val="300"/>
        </w:trPr>
        <w:tc>
          <w:tcPr>
            <w:tcW w:w="6487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lastRenderedPageBreak/>
              <w:t xml:space="preserve">   2.2.1 в том числе инженерно-технического профиля</w:t>
            </w:r>
          </w:p>
        </w:tc>
        <w:tc>
          <w:tcPr>
            <w:tcW w:w="1611" w:type="dxa"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94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348" w:type="dxa"/>
            <w:noWrap/>
            <w:hideMark/>
          </w:tcPr>
          <w:p w:rsidR="00E569D7" w:rsidRPr="00E569D7" w:rsidRDefault="00E569D7" w:rsidP="00E569D7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E569D7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5,00</w:t>
            </w:r>
          </w:p>
        </w:tc>
      </w:tr>
    </w:tbl>
    <w:p w:rsidR="00E569D7" w:rsidRPr="00E569D7" w:rsidRDefault="00E569D7" w:rsidP="00E569D7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E569D7">
        <w:rPr>
          <w:rFonts w:ascii="Liberation Serif" w:eastAsiaTheme="minorHAnsi" w:hAnsi="Liberation Serif" w:cstheme="minorBidi"/>
          <w:sz w:val="28"/>
          <w:szCs w:val="28"/>
          <w:lang w:eastAsia="en-US"/>
        </w:rPr>
        <w:t>*</w:t>
      </w:r>
      <w:r w:rsidRPr="00E569D7">
        <w:rPr>
          <w:rFonts w:ascii="Liberation Serif" w:eastAsiaTheme="minorHAnsi" w:hAnsi="Liberation Serif" w:cstheme="minorBidi"/>
          <w:sz w:val="28"/>
          <w:szCs w:val="28"/>
          <w:lang w:val="en-US" w:eastAsia="en-US"/>
        </w:rPr>
        <w:t>Пояснительная записка</w:t>
      </w:r>
      <w:r w:rsidRPr="00E569D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прилагается</w:t>
      </w:r>
    </w:p>
    <w:p w:rsidR="00E569D7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E569D7" w:rsidSect="00E569D7">
          <w:pgSz w:w="16838" w:h="11906" w:orient="landscape"/>
          <w:pgMar w:top="1843" w:right="1134" w:bottom="991" w:left="1276" w:header="708" w:footer="708" w:gutter="0"/>
          <w:cols w:space="708"/>
          <w:titlePg/>
          <w:docGrid w:linePitch="360"/>
        </w:sect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E569D7" w:rsidRPr="00E569D7" w:rsidTr="00E569D7">
        <w:tc>
          <w:tcPr>
            <w:tcW w:w="4715" w:type="dxa"/>
          </w:tcPr>
          <w:p w:rsidR="00E569D7" w:rsidRPr="00E569D7" w:rsidRDefault="00E569D7" w:rsidP="00E569D7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1" w:type="dxa"/>
          </w:tcPr>
          <w:p w:rsidR="00E569D7" w:rsidRPr="00E569D7" w:rsidRDefault="00E569D7" w:rsidP="00E569D7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69D7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E569D7" w:rsidRPr="00E569D7" w:rsidRDefault="00E569D7" w:rsidP="00E569D7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69D7">
              <w:rPr>
                <w:rFonts w:ascii="Liberation Serif" w:hAnsi="Liberation Serif"/>
                <w:sz w:val="28"/>
                <w:szCs w:val="28"/>
              </w:rPr>
              <w:t>к прогнозу социально-экономического развития Артемовского городского округа на 2021 год и плановый период 2022 и 2023 годов</w:t>
            </w:r>
          </w:p>
        </w:tc>
      </w:tr>
    </w:tbl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на 2021 год и плановый период 2022 и 2023 годов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2021 год и плановый период 2022 и 2023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E569D7">
        <w:rPr>
          <w:rFonts w:ascii="Liberation Serif" w:hAnsi="Liberation Serif"/>
          <w:sz w:val="28"/>
          <w:szCs w:val="28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2021 - 2023 годов сформирован исходя из анализа статистических данных за 2018 - 2019 </w:t>
      </w:r>
      <w:r w:rsidRPr="00E569D7">
        <w:rPr>
          <w:rFonts w:ascii="Liberation Serif" w:hAnsi="Liberation Serif"/>
          <w:sz w:val="28"/>
          <w:szCs w:val="28"/>
        </w:rPr>
        <w:lastRenderedPageBreak/>
        <w:t>годы, январь – июнь 2020 года и прогнозных расчетов, представленных органами местного самоуправления Артемовского городского округа и организациями, осуществляющими деятельнось на территории Артемовского городского округа.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на среднесрочный период разработан на основе базового сценария с учетом менее благоприятной санитарно-эпидемиологической ситуации в мире, затяжного восстановления мировой экономики и структурного замедления темпов ее роста в среднесрочной перспективе из-за последствий распространения новой коронавирусной инфекции (2019-nCoV).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При составлении прогноза на 2021–2023 годы учтена необходимость достижения целей социально-экономического развития Свердловской области на период до 2030 года.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Динамика основных экономических показателей социально-экономического развития Артемовского городского округа в 2019 году характеризуется замедлением темпов снижения одних экономических показателей и сохранением темпов роста других.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Оборот организаций в январе – декабре 2019 года вырос на 7,1% к уровню 2018 года и составил 11 789,7 млн. рублей (2018 год – 11 008,11 млн. рублей).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2019 году инвестиции в основной капитал крупных и средних организаций составили 1 021,4 млн. рублей, что выше показателя 2018 года на 90,8% (2018 год – 535,2 млн. рублей).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Объем отгруженных товаров собственного производства, выполненных работ (услуг) организациями: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обрабатывающего производства в 2019 году, составил 2 929,5 млн. рублей или 132,1% к уровню 2018 года (2018 год – 2 217,6 млн. рублей);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обеспечения электрической энергией, газом и паром; кондиционирование воздуха – 556,4 млн. рублей или 93,4% к уровню 2018 года (в 2018 году – 591,6 млн. рублей).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За январь-декабрь 2019 года среднемесячная начисленная заработная плата по крупным и средним организациям составила 34 702,9 рубля, темп роста по сравнению с аналогичным периодом прошлого года составил 107,8% (за 2018 год – 32 191,9 рубля).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Среднемесячная начисленная заработная плата по видам экономической деятельности за 2019 год составила: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в обрабатывающем производстве – 29 456,8 рубля;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- в обеспечении электрической энергией, газом и паром – 40 917,3 рубля.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Самая высокая среднемесячная начисленная заработная плата в 2019 году зафиксирована по виду экономической деятельности </w:t>
      </w:r>
      <w:r w:rsidRPr="00E569D7">
        <w:rPr>
          <w:rFonts w:ascii="Liberation Serif" w:hAnsi="Liberation Serif"/>
          <w:sz w:val="28"/>
          <w:szCs w:val="28"/>
        </w:rPr>
        <w:lastRenderedPageBreak/>
        <w:t>«Транспортировка и хранение» - 44 070,7 рублей, а самая низкая - по виду экономической деятельности «Деятельность гостиниц и предприятий общественного питания» - 18 781,3 рубля.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2019 году за счет всех источников финансирования введено в действие жилых домов общей площадью 10,8 тыс. кв.м, что составляет 140,8% от показателя 2018 года (2018 год – 7,7 тыс. кв.м).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на 01.01.2020 составила 54 966 человек, что на 499 человек меньше, чем по состоянию на 01.01.2019.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За 12 месяцев 2019 года зарегистрировано 555 родившихся малышей (в 2018 году – 609 малышей). Число родившихся в 2019 году меньше, чем в 2018 году на 54 человека. Число умерших в 2019 году составило 891 человек, что меньше на 103 человека, чем в 2018 году (в 2018 году - 994 человек). Естественная убыль населения за 2019 год составила - 336 человек.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Итоги миграции населения за январь-декабрь 2019 года: число прибывших 1 285 человек, число выбывших 1 414 человек, миграционная убыль составила 129 человек (миграционная убыль январь-декабрь 2018 года - 396 человек).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2019 году зарегистрировано 384 брака, а число разводов составило 234 единицы (в 2018 году – 365 браков, 272 развода).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Финансы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При разработке прогноза доходной части бюджета Артемовского городского округа на 2021 год и плановый период 2022 – 2023 годов использовались: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прогноз налоговых и неналоговых доходов бюджета Артемовского городского округа на 2021 – 2022 годы, утвержденный решением Думы Артемовского городского округа от 23.12.2019 № 641 «Об утверждении бюджета Артемовского городского округа на 2020 год и плановый период 2021 – 2022 годов», и сведения, представленные главными администраторами доходов бюджета Артемовского городского округа, на 2021-2023 годы;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2021 год и плановый период 2022 и 2023 годов;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- единые нормативы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 (в соответствии с Законом Свердловской области от 26 декабря </w:t>
      </w:r>
      <w:r w:rsidRPr="00E569D7">
        <w:rPr>
          <w:rFonts w:ascii="Liberation Serif" w:hAnsi="Liberation Serif"/>
          <w:sz w:val="28"/>
          <w:szCs w:val="28"/>
        </w:rPr>
        <w:br/>
        <w:t xml:space="preserve">2011 года № 128-ОЗ «Об установлении единых нормативов отчислений в </w:t>
      </w:r>
      <w:r w:rsidRPr="00E569D7">
        <w:rPr>
          <w:rFonts w:ascii="Liberation Serif" w:hAnsi="Liberation Serif"/>
          <w:sz w:val="28"/>
          <w:szCs w:val="28"/>
        </w:rPr>
        <w:lastRenderedPageBreak/>
        <w:t>бюджеты муниципальных образований, расположенных на территории Свердловской области, от налога на доходы физических лиц и налога, взимаемого в связи с применением упрощенной системы налогообложения, подлежащих зачислению в областной бюджет» (далее – Областной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69D7">
        <w:rPr>
          <w:rFonts w:ascii="Liberation Serif" w:hAnsi="Liberation Serif"/>
          <w:sz w:val="28"/>
          <w:szCs w:val="28"/>
        </w:rPr>
        <w:t>закон № 128-ОЗ) единый норматив с 01 января 2016 года установлен в размере 1%);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единые нормативы отчислений в бюджеты муниципальных образований, расположенных на территории Свердловской области, от налога, взимаемого в связи с применением упрощенной системы налогообложения, в том числе минимального налога, подлежащего зачислению в областной бюджет (в соответствии с Областным законом         № 128-ОЗ единый норматив с 01 января 2019 года установлен в размере 30%).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в установленном порядке, и с учетом финансовых возможностей бюджета Артемовского городского округа.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Построение параметров бюджета Артемовского 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На основании пункта 2 статьи 1 Федерального закона от 27 ноября 2017 года № 349-ФЗ «О внесении изменений в часть вторую Налогового кодекса Российской Федерации» налогоплательщики – индивидуальные предприниматели вправе уменьшить сумму исчисленного единого налога на сумму расходов по приобретению контрольно-кассовой техники. В связи с этим ожидается снижение уплаты налога на вмененный доход для отдельных видов деятельности в местный бюджет за налоговые периоды 2020 и 2021 годов.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С 1 января 2021 года прогнозирование по единому налогу на вмененный доход для отдельных видов деятельности не осуществляется на основании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26 марта 2019 года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с 01 января 2020 года в Свердловской области принят порядок определения налоговой базы по налогу на имущество физических лиц исходя из кадастровой стоимости объектов недвижимого имущества (первый срок уплаты налога от кадастровой стоимости – 01 декабря 2021 года).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Производственная деятельность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 итогам 2019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59,1 млн. рублей прибыли, что больше в 2,2 раза, чем за 2018 год (в 2018 году – 26,7 млн. рублей).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Основную долю занимают предприятия двух видов экономической деятельности - обрабатывающего производства и обеспечение электрической энергией, газом и паром; кондиционирование воздуха.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 итогам 2019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обрабатывающие производства – 3 407,0 млн. рублей или 125,6% к значению показателя за 2018 год;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обеспечение электрической энергией, газом и паром; кондиционирование воздуха – 4 641,7 млн. рублей или 109,3% к значению показателя за 2018 год.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 итогам 2020 года ожидается увеличение оборота организаций обрабатывающего производства на 1,07% и достижение значения данного показателя в объеме 3 645,5 млн. рублей, а в организациях сферы экономической деятельности «Обеспечение электрической энергией, газом и паром; кондиционирование воздуха» - на 1,01% с достижением объема 4 688,2 млн. рублей. В периоде до 2022 года в организациях Артемовского городского округа ожидается сохранение темпов роста в пределах от 1,01% до 1,8%, в том числе: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в организациях обрабатывающего производства ежегодное увеличение оборота в пределах 1,1 – 1,2%;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в организациях по обеспечению электрической энергией, газом и паром; кондиционированием воздуха ежегодное увеличение оборота в пределах 1,01 – 1,02%.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Н</w:t>
      </w:r>
      <w:r w:rsidRPr="00E569D7">
        <w:rPr>
          <w:rFonts w:ascii="Liberation Serif" w:hAnsi="Liberation Serif"/>
          <w:sz w:val="28"/>
          <w:szCs w:val="28"/>
        </w:rPr>
        <w:t>а территории Артемовского городского округа в сфере сельского хозяйства осуществляют деятельность 2 юридических лица, малые формы хозяйствования представлены 19 крестьянскими (фермерскими) хозяйствами и около 10,5 тысяч семей имеют личные подсобные хозяйства.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Основные направления производственной деятельности сельскохозяйственных предприятий городского округа: производство мяса </w:t>
      </w:r>
      <w:r w:rsidRPr="00E569D7">
        <w:rPr>
          <w:rFonts w:ascii="Liberation Serif" w:hAnsi="Liberation Serif"/>
          <w:sz w:val="28"/>
          <w:szCs w:val="28"/>
        </w:rPr>
        <w:lastRenderedPageBreak/>
        <w:t>птицы, мяса крупного рогатого скота, молока, возделывание зерновых культур.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2019 года объем производства сельскохозяйственной продукции всего составляет 192,7 млн. руб., что на 596,2 млн. руб. меньше показателя за 2018 год (за 12 месяцев 2018 года – 788,9 млн. руб.).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прогнозном периоде 2021-2023 годов ожидается, что рост оборота организаций сельскохозяйственного производства будет находиться в диапазоне 1 - 5% в зависимости от складывающейся экономической ситуации и погодных условий. Рост оборота организаций сельскохозяйственного производства планируется обеспечить за счет увеличения общих посевных площадей к 2023 году до 13 845 га и роста объема произведенной сельскохозяйственной продукции.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Оборот организаций в сфере «Строительство» за 2019 год составил 155,0 млн. рублей, что на 13,4% больше, чем в 2018 году (2018 год – </w:t>
      </w:r>
      <w:r w:rsidRPr="00E569D7">
        <w:rPr>
          <w:rFonts w:ascii="Liberation Serif" w:hAnsi="Liberation Serif"/>
          <w:sz w:val="28"/>
          <w:szCs w:val="28"/>
        </w:rPr>
        <w:br/>
        <w:t>149,93 млн. рублей). В 2019 году: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завершен второй этап реконструкции лыжной базы «Снежинка»;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завершены проекты по газификации Артемовского городского округа (строительство блочной газовой котельной мощностью 1,0 МВт, газопровод низкого давления, газоснабжение жилых домов четырех потребительских кооперативов);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- введено 14 объектов капитального строительства, не относящихся к жилищному строительству (в том числе: в г. Артемовском - здание автостанции, магазины по улицам Гагарина, Ленина, Западная, в п. Буланаш – автомойка).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Кроме того, в 2019 году начата реализация проектов по строительству: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АО «АМЗ «ВЕНТПРОМ» - здание сборочного цеха (цех № 3) общей площадью 2260 кв.м (введен в эксплуатацию – сентябрь 2020 года);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ООО «Континент» - здание детского сада на 135 мест в г. Артемовском (планируемый срок ввода в эксплуатацию – 30.10.2020).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ООО МК «ГарантСтрой» - 5-ти этажный многоквартирный жилой дом (63 квартиры) в пос. Буланаш (планируемый срок ввода в эксплуатацию – 30.11.2020).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В 2020 году прогнозируется рост оборота организаций в сфере «Строительство» в 2,1 раза с достижением объема 325,5 млн. рублей. </w:t>
      </w:r>
      <w:r w:rsidRPr="00E569D7">
        <w:rPr>
          <w:rFonts w:ascii="Liberation Serif" w:hAnsi="Liberation Serif"/>
          <w:sz w:val="28"/>
          <w:szCs w:val="28"/>
        </w:rPr>
        <w:br/>
        <w:t>В период 2021-2023 годов ожидается достижение оборота в данной сфере - ежегодно в пределах 100,0 млн. рублей.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прогнозном периоде до 2023 года планируется: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строительство механического цеха АО «Красногвардейский машиностроительный завод»;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строительство фермы по разведению коз;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- строительство центра эксплуатации и обслуживания газомоторных </w:t>
      </w:r>
      <w:r w:rsidRPr="00E569D7">
        <w:rPr>
          <w:rFonts w:ascii="Liberation Serif" w:hAnsi="Liberation Serif"/>
          <w:sz w:val="28"/>
          <w:szCs w:val="28"/>
        </w:rPr>
        <w:lastRenderedPageBreak/>
        <w:t>локомотивов;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- проведение АО «Ренессанс-Лекс» перепрофилирования имущественного комплекса бывшего АКСК;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строительство 3-х этажного многоквартирного жилого дома с пристроенной теплогенераторной (г. Артемовский);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строительство индивидуального жилья - ежегодно не менее 2,5 тыс кв.м.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колебание объема оборота организаций транспорта и связи в пределах от 97% в 2020 году до 101% к 2023 году.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Оборот организаций в области информатизации и связи прогнозируется в периоде 2021-2023 годов в объеме от 6,9 млн. рублей до 8,0 млн. рублей.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Инвестиции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Фактический объем инвестиций в 2019 году превысил прогнозный на 286,4 млн. рублей. Наличие и выполнение заказов ведущих организаций Артемовского городского округа и инвестиции в бюджетной сфере позволили в 2019 году достичь значения показателя «Объем инвестиций в основной капитал за счет всех источников финансирования» в объеме 841,4 млн. рублей.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Инвестиционная деятельность крупных организаций Артемовского городского округа и строительство двух многоквартирных домов дает основание прогнозировать увеличение значения показателя «Объем инвестиций в основной капитал за счет всех источников финансирования» в 2021 году с последующим снижением значения данного показателя в период 2022- 2023 годов.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Объем инвестиций в основной капитал за счет всех источников финансирования на территории Артемовского городского округа в 2019 году составил 841,4 млн. рублей, что в 2,2 раза больше уровня 2018 года (в 2018 году – 391,59 млн. рублей). Колебание объемов инвестиций на территории Артемовского городского округа зависит от реализации инвестиционных проектов в организациях, осуществляющих деятельность в сферах: обрабатывающее производство и обеспечение электрической энергией, газом и паром.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целом по итогам 2020 года рост инвестиций в основной капитал прогнозируется на уровне 9,9%. Инвестиционная активность будет обусловлена тенденциями развития экономической ситуации как в мире, так и в стране в условиях адаптации экономики к пандемии коронавирусной инфекции.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Наличие краткосрочных инвестиционных планов в организациях Артемовского городского округа позволяют прогнозировать значения </w:t>
      </w:r>
      <w:r w:rsidRPr="00E569D7">
        <w:rPr>
          <w:rFonts w:ascii="Liberation Serif" w:hAnsi="Liberation Serif"/>
          <w:sz w:val="28"/>
          <w:szCs w:val="28"/>
        </w:rPr>
        <w:lastRenderedPageBreak/>
        <w:t>показателя «Объем инвестиций в основной капитал за счет всех источников финансирования» в прогнозном периоде: в 2021 году – со снижением на 40%, а в 2022 и 2023 годах – с увеличением на 1%.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Денежные доходы населения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Ожидаемый объем дохода населения Артемовского городского округа в 2019 году составил 10 000 млн. рублей, фактически достигнутое значение в объеме 10 715,87 больше ожидаемого на 715,0 млн. рублей, так как фактический рост заработной платы произошел по большинству видов экономической деятельности (за исключением видов деятельности «Строительство» и «Предоставление прочих видов услуг») в пределах от 2,7% (Обеспечение электрической энергией, газом и паром) до 19,1% (Деятельность по операциям с недвижимым имуществом).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Ожидается, что денежные доходы населения Артемовского городского округа в 2020 году снизятся на 270,18 млн. рублей или на 2,5% по сравнению с 2019 годом в связи с пандемией COVID-19 и ограничительными карантинными мерами.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2021-2023 годах, при стабилизации функционирования экономики, прогнозируется ежегодное увеличение денежных доходов населения в пределах 3%, в том числе за счет роста заработной платы, доходов от предпринимательской деятельности и социальных выплат.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Потребительский рынок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2019 году достиг значения 2 932,66 млн. рублей, что составляет 112,7% от аналогичного показателя за 2018 год (в 2018 году оборот составил 2 601,87 млн. рублей).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На потребительский спрос ощутимо повлияют последствия в экономике, вызванные пандемией коронавируса, девальвация рубля и отрицательная динамика доходных показателей населения.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По итогам 2020 года прогнозируется достижение 95% оборота оптовой и розничной торговли к уровню 2019 года. В период 2021-2023 годов ожидается умеренный рост потребительского спроса, что повлечет положительную динамику роста оборота оптовой и розничной торговли от 2% до 4%.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Демография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Негативные тенденции демографического развития обусловили </w:t>
      </w:r>
      <w:r w:rsidRPr="00E569D7">
        <w:rPr>
          <w:rFonts w:ascii="Liberation Serif" w:hAnsi="Liberation Serif"/>
          <w:sz w:val="28"/>
          <w:szCs w:val="28"/>
        </w:rPr>
        <w:lastRenderedPageBreak/>
        <w:t>формирование устойчивой тенденции старения населения страны.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Численность населения на 01.01.2020 составила 54 966 человек, что на 499 человек меньше ожидаемой. Сложившаяся ситуация обусловлена процессами миграции и естественной убыли населения.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 xml:space="preserve">Ожидаемая среднегодовая численность населения в 2021 году – </w:t>
      </w:r>
      <w:r w:rsidRPr="00E569D7">
        <w:rPr>
          <w:rFonts w:ascii="Liberation Serif" w:hAnsi="Liberation Serif"/>
          <w:sz w:val="28"/>
          <w:szCs w:val="28"/>
        </w:rPr>
        <w:br/>
        <w:t>54 700 человек. Ожидаемая численность населения на 01.01.2023 – 54 800 человек.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2021 - 2023 годах прогнозируется замедление темпов естественной и миграционной убыли населения. Прогнозируемая среднегодовая численность населения, при сохранении существующих тенденций движения населения, к 2021 году составит 56 300 человек.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Численность детей в возрасте 3-7 лет (дошкольного возраста) по состоянию на 01.01.2020 составила 3 893 человек, что на 3 человека больше, чем по состоянию на 01.01.2019. В среднесрочной перспективе 2021-2023 годов прогнозируется снижение численности граждан данной возрастной категории в пределах 3 800 человек.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Численность детей и подростков в возрасте 8-17 лет (школьного возраста) на 01.01.2020 составила 5 772 человека, что на 133 человека больше, чем на 01.01.2019. В среднесрочной перспективе 2021-2023 годов прогнозируется сохранение численности граждан данной возрастной категории в пределах 5 800 человек.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в трудоспособном возрасте на 01.01.2020 составила 28 250 человек (51,4% от общей численности населения), а численность населения старше трудоспособного возраста – 17 050 человек (31,0%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2021 - 2023 годов ожидается: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сохранение тенденции старения населения;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сохранение численности населения в трудоспособном возрасте в пределах 28,25 - 28,3 тыс. человек ежегодно;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- незначительный прирост населения, обусловленный реализацией инвестиционных проектов на территории Артемовского городского округа.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Развитие социальной сферы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2019 году в 7 общеобразовательных организациях Артемовского городского округа учебный процесс осуществлялся в 2 смены. Во вторую смену обучалось 730 человек, что составило 10,8% от общей численности обучающихся (в 2018 учебном году в 7 общеобразовательных организациях – 597 человек или 9%). Прирост показателя обусловлен организацией образовательного процесса в 2019 году в 2 общеобразовательных организациях (МБОУ СОШ № 14 на базе МБОУ СОШ № 16 и МБОУ СОШ № 9 в течение 5-дневной недели).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На 01.09.2020 доля обучающихся в муниципальных </w:t>
      </w:r>
      <w:r w:rsidRPr="00E569D7">
        <w:rPr>
          <w:rFonts w:ascii="Liberation Serif" w:hAnsi="Liberation Serif"/>
          <w:sz w:val="28"/>
          <w:szCs w:val="28"/>
        </w:rPr>
        <w:lastRenderedPageBreak/>
        <w:t>общеобразовательных организациях, занимающихся во вторую смену, в общей численности обучающихся в муниципальных общеобразовательных организациях в Артемовском городском округе составила 7,8%.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Во вторую смену в 2020-2021 учебном году занимаются 525 обучающихся в 4 общеобразовательных организациях.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прогнозном периоде 2021-2023 годов количество обучающихся общеобразовательных организаций во вторую смену составит 203 человека.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Доля детей в возрасте от 5 до 18 лет, охваченных дополнительным образованием в 2019 году, составила 74%. 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координирующий деятельность в сфере дополнительного образования и дальнейшая реализация кампании по выдаче сертификатов дополнительного образования позволят к 2023 году создать условия для 77% детей получать дополнительное образование.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Доступность дошкольного образования для детей в возрасте от полутора до трех лет в 2019 году составила 94,02%.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Создание 2020 году дополнительно 60 мест в действующих дошкольных образовательных организациях и ввод 135 мест в новом детском дошкольном учреждении создаст условия в прогнозном периоде 2021-2023 годов для 100% доступности дошкольного образования для детей в возрасте от полутора до трех лет.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Трудовые ресурсы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Среднесписочная численность работников по полному кругу организаций в 2019 году составила 22 786 человек.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По итогам проводимого мониторинга за истекшие 9 месяцев 2020 года безработица в Артемовском городском округе достигла 7,5%, а число официально зарегистрированных безработных составило 2080 человек. По сравнению с показателями на 01.01.2020 рост уровня безработицы составил 416,7%. Среднесписочная численность работников (без внешних совместителей) по полному кругу организаций в 2019 году составила 22 786 человек, а по итогам 2020 года ожидается снижение данного показателя до значения – 21 191 человек или на 7%.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В прогнозном периоде 2021-2023 годов ожидается, что структура распределения занятых в экономике по видам деятельности существенно не изменится, а среднесписочная численность работников (без внешних совместителей) по полному кругу организаций будет расти и к 2023 году составит 22 704 человека.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В прогнозном периоде 2021-2023 годов наряду с восстановлением экономики увеличению числа занятых будут способствовать мероприятия по переобучению безработных, усилению межрегиональной координации центров занятости, программы стажировок для выпускников и внедрение </w:t>
      </w:r>
      <w:r w:rsidRPr="00E569D7">
        <w:rPr>
          <w:rFonts w:ascii="Liberation Serif" w:hAnsi="Liberation Serif"/>
          <w:sz w:val="28"/>
          <w:szCs w:val="28"/>
        </w:rPr>
        <w:lastRenderedPageBreak/>
        <w:t xml:space="preserve">дистанционной занятости.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В целях обеспечения образовательных организаций Артемовского городского округа необходимыми кадрами заключены договоры на целевое обучение по очной и заочной форме обучения (в 2019 году – 3 человека, в 2020 году – 5 человек).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Прогнозируется, что в ближайшие годы будет расти количество самозанятых граждан.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Рынок труда в среднесрочной перспективе будет в значительной 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 xml:space="preserve">Заключение 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E569D7" w:rsidRPr="00E569D7" w:rsidRDefault="00E569D7" w:rsidP="00E569D7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E569D7">
        <w:rPr>
          <w:rFonts w:ascii="Liberation Serif" w:hAnsi="Liberation Serif"/>
          <w:sz w:val="28"/>
          <w:szCs w:val="28"/>
        </w:rPr>
        <w:t>Приоритетными в 2021-2023 годах признаются мероприятия, связанные с реализацией региональных проектов Свердловской области 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года»: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09"/>
          <w:tab w:val="right" w:pos="9356"/>
        </w:tabs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капитальный ремонт школ, капитальный ремонт дошколь</w:t>
      </w:r>
      <w:r w:rsidR="00AC406B">
        <w:rPr>
          <w:rFonts w:ascii="Liberation Serif" w:hAnsi="Liberation Serif"/>
          <w:sz w:val="28"/>
          <w:szCs w:val="28"/>
        </w:rPr>
        <w:t xml:space="preserve">ных </w:t>
      </w:r>
      <w:r w:rsidRPr="00E569D7">
        <w:rPr>
          <w:rFonts w:ascii="Liberation Serif" w:hAnsi="Liberation Serif"/>
          <w:sz w:val="28"/>
          <w:szCs w:val="28"/>
        </w:rPr>
        <w:t>образовательных организаций;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капитальный ремонт учреждений культуры;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модернизация жилищно-коммунального хозяйства;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газификация Артемовского городского округа;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left="142" w:firstLine="284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 xml:space="preserve">строительство жилья для переселения граждан из непригодного и </w:t>
      </w:r>
      <w:bookmarkStart w:id="0" w:name="_GoBack"/>
      <w:bookmarkEnd w:id="0"/>
      <w:r w:rsidRPr="00E569D7">
        <w:rPr>
          <w:rFonts w:ascii="Liberation Serif" w:hAnsi="Liberation Serif"/>
          <w:sz w:val="28"/>
          <w:szCs w:val="28"/>
        </w:rPr>
        <w:t>аварийного жилья;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развитие въездного и внутреннего туризма;</w:t>
      </w:r>
    </w:p>
    <w:p w:rsidR="00E569D7" w:rsidRPr="00E569D7" w:rsidRDefault="00E569D7" w:rsidP="00AC406B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  <w:r w:rsidRPr="00E569D7">
        <w:rPr>
          <w:rFonts w:ascii="Liberation Serif" w:hAnsi="Liberation Serif"/>
          <w:sz w:val="28"/>
          <w:szCs w:val="28"/>
        </w:rPr>
        <w:t>обустройство дворовых территорий.</w:t>
      </w:r>
    </w:p>
    <w:p w:rsidR="00E569D7" w:rsidRPr="00E569D7" w:rsidRDefault="00E569D7" w:rsidP="00AC406B">
      <w:pPr>
        <w:tabs>
          <w:tab w:val="left" w:pos="-1134"/>
          <w:tab w:val="left" w:pos="720"/>
          <w:tab w:val="right" w:pos="9356"/>
        </w:tabs>
        <w:spacing w:line="240" w:lineRule="auto"/>
        <w:ind w:hanging="793"/>
        <w:jc w:val="both"/>
        <w:rPr>
          <w:rFonts w:ascii="Liberation Serif" w:hAnsi="Liberation Serif"/>
          <w:sz w:val="28"/>
          <w:szCs w:val="28"/>
        </w:rPr>
      </w:pPr>
    </w:p>
    <w:p w:rsidR="00E569D7" w:rsidRPr="00BC08A5" w:rsidRDefault="00E569D7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E569D7" w:rsidRPr="00BC08A5" w:rsidSect="00E569D7"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83" w:rsidRDefault="00432D83" w:rsidP="00750105">
      <w:pPr>
        <w:spacing w:line="240" w:lineRule="auto"/>
      </w:pPr>
      <w:r>
        <w:separator/>
      </w:r>
    </w:p>
  </w:endnote>
  <w:endnote w:type="continuationSeparator" w:id="0">
    <w:p w:rsidR="00432D83" w:rsidRDefault="00432D83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83" w:rsidRDefault="00432D83" w:rsidP="00750105">
      <w:pPr>
        <w:spacing w:line="240" w:lineRule="auto"/>
      </w:pPr>
      <w:r>
        <w:separator/>
      </w:r>
    </w:p>
  </w:footnote>
  <w:footnote w:type="continuationSeparator" w:id="0">
    <w:p w:rsidR="00432D83" w:rsidRDefault="00432D83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Content>
      <w:p w:rsidR="00E569D7" w:rsidRDefault="00E569D7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6B">
          <w:rPr>
            <w:noProof/>
          </w:rPr>
          <w:t>20</w:t>
        </w:r>
        <w:r>
          <w:fldChar w:fldCharType="end"/>
        </w:r>
      </w:p>
    </w:sdtContent>
  </w:sdt>
  <w:p w:rsidR="00E569D7" w:rsidRDefault="00E569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1B4714"/>
    <w:rsid w:val="00286755"/>
    <w:rsid w:val="002B5D9E"/>
    <w:rsid w:val="002C6406"/>
    <w:rsid w:val="0037574C"/>
    <w:rsid w:val="00395451"/>
    <w:rsid w:val="003B7F4F"/>
    <w:rsid w:val="003D3228"/>
    <w:rsid w:val="00432D83"/>
    <w:rsid w:val="00433350"/>
    <w:rsid w:val="00440358"/>
    <w:rsid w:val="004B630D"/>
    <w:rsid w:val="005160A3"/>
    <w:rsid w:val="00543B86"/>
    <w:rsid w:val="00641DA2"/>
    <w:rsid w:val="00694062"/>
    <w:rsid w:val="006A20A4"/>
    <w:rsid w:val="006F0E7D"/>
    <w:rsid w:val="00730E71"/>
    <w:rsid w:val="00750105"/>
    <w:rsid w:val="00766F78"/>
    <w:rsid w:val="00770AEA"/>
    <w:rsid w:val="00775F8E"/>
    <w:rsid w:val="0079249E"/>
    <w:rsid w:val="007D3873"/>
    <w:rsid w:val="007E6A78"/>
    <w:rsid w:val="008644BB"/>
    <w:rsid w:val="008A2B3B"/>
    <w:rsid w:val="009A4952"/>
    <w:rsid w:val="009A4A9D"/>
    <w:rsid w:val="00A01D44"/>
    <w:rsid w:val="00A8743A"/>
    <w:rsid w:val="00A9638E"/>
    <w:rsid w:val="00AC406B"/>
    <w:rsid w:val="00AF3691"/>
    <w:rsid w:val="00B17CC4"/>
    <w:rsid w:val="00BA66FF"/>
    <w:rsid w:val="00BC08A5"/>
    <w:rsid w:val="00BF1EEA"/>
    <w:rsid w:val="00C73BE2"/>
    <w:rsid w:val="00CB1EB2"/>
    <w:rsid w:val="00D350A2"/>
    <w:rsid w:val="00D50040"/>
    <w:rsid w:val="00E569D7"/>
    <w:rsid w:val="00E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5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5397</Words>
  <Characters>30767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2020-11-11T11:44:00Z</cp:lastPrinted>
  <dcterms:created xsi:type="dcterms:W3CDTF">2020-11-16T07:42:00Z</dcterms:created>
  <dcterms:modified xsi:type="dcterms:W3CDTF">2020-11-16T07:42:00Z</dcterms:modified>
</cp:coreProperties>
</file>