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96" w:rsidRPr="004E5B96" w:rsidRDefault="004E5B96" w:rsidP="004E5B9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11BBA8D" wp14:editId="2FD08DAA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96" w:rsidRPr="003B2FC7" w:rsidRDefault="004E5B96" w:rsidP="004E5B9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E5B96" w:rsidRPr="00AA2FC2" w:rsidRDefault="004E5B96" w:rsidP="004E5B9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E5B96" w:rsidRPr="003B2FC7" w:rsidRDefault="004E5B96" w:rsidP="004E5B9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E5B96" w:rsidRPr="003B2FC7" w:rsidRDefault="004E5B96" w:rsidP="004E5B9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22.03.2024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4D6595" w:rsidRDefault="0004234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:rsidR="00067161" w:rsidRDefault="0006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4D6595" w:rsidRDefault="00CE0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подготовке</w:t>
      </w:r>
      <w:r w:rsidR="0004234F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к весенне-летнему пожароопасному </w:t>
      </w:r>
      <w:r w:rsidR="00F536E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периоду 2024</w:t>
      </w:r>
      <w:r w:rsidR="0004234F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года </w:t>
      </w:r>
      <w:r w:rsidR="00F536E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                 </w:t>
      </w:r>
      <w:r w:rsidR="0004234F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на </w:t>
      </w:r>
      <w:r w:rsidR="00F536E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территории Артемовского</w:t>
      </w:r>
      <w:r w:rsidR="0004234F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городского округа </w:t>
      </w:r>
    </w:p>
    <w:p w:rsidR="004D6595" w:rsidRDefault="0004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</w:p>
    <w:p w:rsidR="004D6595" w:rsidRDefault="004D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D6595" w:rsidRDefault="0004234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Лесным кодексом Российской Федерации,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 пожарной безопасности в лесах», Постановлением Правительства Свердловской области  от  15.02.2024 </w:t>
      </w:r>
      <w:r w:rsidR="00F536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101-ПП «Об утверждении Порядка организации тушения ландшафтных (природных) пожаров на территории Свердловской области</w:t>
      </w:r>
      <w:r w:rsidR="00D410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целях подготовки к пожароопасному сезону, руководствуясь статьей 31 Устава Артемовского городского округа,  </w:t>
      </w:r>
    </w:p>
    <w:p w:rsidR="004D6595" w:rsidRDefault="0004234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ПОСТАНОВЛЯЮ: </w:t>
      </w:r>
    </w:p>
    <w:p w:rsidR="004D6595" w:rsidRDefault="0004234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состав оперативной группы при </w:t>
      </w:r>
      <w:r>
        <w:rPr>
          <w:rFonts w:ascii="Liberation Serif" w:hAnsi="Liberation Serif" w:cs="Liberation Serif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Артемовского городского округа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оперативная группа)</w:t>
      </w:r>
      <w:r>
        <w:rPr>
          <w:rFonts w:ascii="Liberation Serif" w:hAnsi="Liberation Serif" w:cs="Liberation Serif"/>
          <w:sz w:val="28"/>
          <w:szCs w:val="28"/>
        </w:rPr>
        <w:t xml:space="preserve"> в пожароопасный период 2024 </w:t>
      </w:r>
      <w:r w:rsidR="00F536E8">
        <w:rPr>
          <w:rFonts w:ascii="Liberation Serif" w:hAnsi="Liberation Serif" w:cs="Liberation Serif"/>
          <w:sz w:val="28"/>
          <w:szCs w:val="28"/>
        </w:rPr>
        <w:t>года</w:t>
      </w:r>
      <w:r w:rsidR="00F536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1);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план мероприятий по тушению ландшафтных (природных) пожаров на землях всех категорий в границах Артемовского городского округа                  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2);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регламент проводимых мероприятий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 в зависимости от класса пожарной опасности по условиям погоды (Приложение 3).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Заместителю главы Артемовского городского округа Миронову А.И.: 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организовать работу оперативной группы в пожароопасный период 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территории Артемовского городского округа;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работу патрульных, патрульно-маневренных, патрульно-контрольных групп, при необходимости увеличить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состав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групп; 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 </w:t>
      </w: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проводить анализ обстановки и реагирования сил и </w:t>
      </w:r>
      <w:r w:rsidR="00F536E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средств </w:t>
      </w:r>
      <w:r w:rsidR="00F536E8">
        <w:rPr>
          <w:rFonts w:ascii="Liberation Serif" w:hAnsi="Liberation Serif" w:cs="Liberation Serif"/>
          <w:color w:val="000000"/>
          <w:sz w:val="28"/>
          <w:szCs w:val="28"/>
        </w:rPr>
        <w:t>единой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государственной системы предупреждения и ликвидации чрезвычайных ситуаций, расположенных на территории Артемовского городского округа,</w:t>
      </w: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</w:t>
      </w:r>
      <w:r w:rsidR="00F536E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о ландшафтных</w:t>
      </w: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(природных) пожарах в течение пожароопасного периода;</w:t>
      </w:r>
    </w:p>
    <w:p w:rsidR="004D6595" w:rsidRDefault="0004234F" w:rsidP="00F536E8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организовать выполнение плана тушения лесных пожаров на территории городских лесов Артемовского городского округа на период пожароопасного сезона 2024 года.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3. Рекомендовать Государственному казенному учреждению Свердловской области «</w:t>
      </w:r>
      <w:proofErr w:type="spellStart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Егоршинское</w:t>
      </w:r>
      <w:proofErr w:type="spellEnd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лесничество» (</w:t>
      </w:r>
      <w:proofErr w:type="spellStart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Сорогин</w:t>
      </w:r>
      <w:proofErr w:type="spellEnd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А.Ю.), </w:t>
      </w:r>
      <w:proofErr w:type="spellStart"/>
      <w:r w:rsidR="0084652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Егоршинскому</w:t>
      </w:r>
      <w:proofErr w:type="spellEnd"/>
      <w:r w:rsidR="00846528" w:rsidRP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участ</w:t>
      </w:r>
      <w:r w:rsidR="0084652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ку</w:t>
      </w:r>
      <w:r w:rsidR="00846528" w:rsidRP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ГБУ СО «Уральская база авиационной охраны лесов» (Никонов Е.А.)</w:t>
      </w:r>
      <w:r w:rsidR="0084652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: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1) обеспечить полную готовность </w:t>
      </w:r>
      <w:proofErr w:type="spellStart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лесопожарных</w:t>
      </w:r>
      <w:proofErr w:type="spellEnd"/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формирований, пунктов сосредоточения противопожарного инвентаря, имеющихся на территории Артемовского городского округа.  Срок - 1</w:t>
      </w:r>
      <w:r w:rsidRPr="0004234F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.04.2024;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провести проверку готовности к пожароопасному периоду организаций и индивидуальных предпринимателей, осуществляющих использование лесов, выполнения ими противопожарных мероприятий, в соответствии с проектами освоения лесов и договорами аренды.  Срок – 15.04.2024;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своевременное предупреждение населения, руководителей организаций и индивидуальных предпринимателей о начале пожароопасного сезона;</w:t>
      </w:r>
    </w:p>
    <w:p w:rsidR="004D6595" w:rsidRDefault="00846528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организовать работу по профилактике лесных и торфяных пожаров путем проведения противопожарной пропаганды в средствах массовой информации, наглядной агитации, распространения листовок, бесед с населением по вопросам пожарной безопасности;</w:t>
      </w:r>
    </w:p>
    <w:p w:rsidR="004D6595" w:rsidRDefault="00846528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обеспечить незамедлительное представление оперативной информации о лесных пожарах на территории Артемовского городского округа в Муниципальное казенное учреждение Артемовского   городского округа «Единая дежурно-диспетчерская служба»;</w:t>
      </w:r>
    </w:p>
    <w:p w:rsidR="004D6595" w:rsidRDefault="00846528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незамедлительно передавать данные о лесных пожарах в отдел надзорной деятельности и профилактической работы </w:t>
      </w:r>
      <w:proofErr w:type="spellStart"/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Режевского</w:t>
      </w:r>
      <w:proofErr w:type="spellEnd"/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и Отдел Министерства внутренних дел Российской Федерации </w:t>
      </w:r>
      <w:r w:rsidR="00F536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«Артемовский» </w:t>
      </w:r>
      <w:r w:rsid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установления причин пожара и виновных лиц.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Рекомендовать 54 пожарно-спасательному отряду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54 ПСО)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(Пе</w:t>
      </w:r>
      <w:r w:rsidR="00F536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тухов И.В.), Государственному казенному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техническому учреждению Свердловской области «Отряд противопожарной службы Свердловской области № 16»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«ОПС СО №16»)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Ивлиев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В.Н.):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при угрозе возникновения пожаров на территории населенных пунктов Артемовского городского округа обеспечить привлечение сил и средств пожарно-спасательных подразделений для защиты населения от лесных и ландшафтных (природных) пожаров;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Рекомендовать отделу надзорной деятельности и профилактической работы Артемовского городского округа,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области (далее – ОНД И ПР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Костицын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А.И.):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рамках предоставленных полномочий обеспечить организацию контроля соблюдения правил пожарной безопасности в населенных пунктах и на участках, прилегающих к населенным пунктам и лесам,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предусмотренных постановлениями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Правительства Российской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Федерации от 07.10.2020 № 1614 «Об утверждении Правил пожарной безопасности в лесах», от 16.09.2020 </w:t>
      </w:r>
      <w:r w:rsidR="00732B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1479 «Об утверждении Правил противопожарного режима в Российской Федерации»;  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организовать проведение разъяснительной работы среди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населения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привлечение к административной ответственности лиц, нарушивших требования пожарной безопасности в соответствии с Кодексом Российской Федерации об административных правонарушениях.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Территориальным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Артемовского городского округа (Губанов А.А.,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Шмурыгин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И.В., Серебренников В.В., Пьянков С.И., Юсупова В.А., Королева Е.А., Беспамятных А.А., Ситников С.Н.,                      Никонова Л.Ф.,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Ольков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А.Г.) совместно со старостами сельских населенных пунктов Артемовского городского округа: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обеспечить очистку подведомственных территорий населенных пунктов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4D6595" w:rsidRDefault="0004234F" w:rsidP="004F140D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целях исключения возможного перехода природных пожаров на территории подведомственных населенных пунктов, подверженных угрозе лесных пожаров и других ландшафтных (природных) пожаров, до начала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пожароопасного периода, а также при установлении на территории Артемовского городского округа особого противопожарного режима вокруг территории населенных пунктов создать (обновить) противопожарные минерализованные полосы шириной не менее 10 метров или иные противопожарные барьеры.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контроль состояния противопожарных водоемов и подъездов к ним;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3) создать условия для забора воды в любое время суток из источников наружного противопожарного водоснабжения, расположенных на территориях населенных пунктов и в прилегающих к ним зонах; 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провести работу по определению возможных мест для забора воды в целях тушения ландшафтных (природных) пожаров;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уточнить состав добровольной пожарной дружины в населенных пунктах, проверить исправность техники и оборудования; 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>организовать работу по формированию отрядов из числа добровольцев и волонтеров (с указанием Ф.И.О., телефонов, адресов и т. д.), которые будут непосредственно участвовать в защите подведомственных населенных пунктов в составе не менее 10 человек, с определением порядка их оповещения, сбора и доставки к месту проведения работ. Срок – до 01.04.2024;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  принять меры по организации работы добровольных пожарных   дружин, добровольцев, волонтеров и оснащению их необходимыми средствами пожаротушения до начала пожароопасного периода 2024 года;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организовать разъяснительную работу и обучение населения мерам пожарной безопасности при возникновении лесных и ландшафтных (природных) пожаров с привлечением добровольных пожарных; Срок - в течении пожароопасного периода;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9) с началом пожароопасного периода обеспечить работу патрульных и патрульно-маневренных групп на территориях подведомственных населенных пунктов и прилегающих к ним территориям с целью своевременного обнаружения и ликвидации очагов возгорания; </w:t>
      </w:r>
    </w:p>
    <w:p w:rsidR="004D6595" w:rsidRDefault="0004234F" w:rsidP="00F536E8">
      <w:pPr>
        <w:shd w:val="clear" w:color="auto" w:fill="FFFFFF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обеспечить сбор и представление в Муниципальное казенное учреждение Артемовского городского округа «Единая дежурно – диспетчерская служба» сведений об оперативной обстановке с ландшафтными (природными) пожарами на подведомственной территории.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Муниципальному казенному учреждению Артемовского городского округа «Единая дежурно – диспетчерская служба» (далее – МКУ АГО «ЕДДС») (Шабанов А.Л.)  в течении пожароопасного сезона:</w:t>
      </w:r>
    </w:p>
    <w:p w:rsidR="004D6595" w:rsidRDefault="0004234F" w:rsidP="00F536E8">
      <w:pPr>
        <w:pStyle w:val="western"/>
        <w:shd w:val="clear" w:color="auto" w:fill="auto"/>
        <w:spacing w:before="0" w:beforeAutospacing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организовать сбор и обмен информацией о ландшафтных (природных) пожарах 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округа, утвержденным постановлением Администрации Артемовского городского окр</w:t>
      </w:r>
      <w:r w:rsidR="00846528">
        <w:rPr>
          <w:rFonts w:ascii="Liberation Serif" w:hAnsi="Liberation Serif" w:cs="Liberation Serif"/>
          <w:sz w:val="28"/>
          <w:szCs w:val="28"/>
        </w:rPr>
        <w:t xml:space="preserve">уга от 14.02.2024 </w:t>
      </w:r>
      <w:r>
        <w:rPr>
          <w:rFonts w:ascii="Liberation Serif" w:hAnsi="Liberation Serif" w:cs="Liberation Serif"/>
          <w:sz w:val="28"/>
          <w:szCs w:val="28"/>
        </w:rPr>
        <w:t>№ 208-ПА и их учет;</w:t>
      </w:r>
    </w:p>
    <w:p w:rsidR="004D6595" w:rsidRDefault="0004234F" w:rsidP="00F536E8">
      <w:pPr>
        <w:widowControl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ежедневно уточнять расчет сил и средств единой государственной системы предупреждения и ликвидации чрезвычайных ситуаций,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расположенных на территории Артемовского городского округа, которые привлекаются для ликвидации возможных чрезвычайных ситуаций на территории Артемовского городского округа. Срок - ежедневно;</w:t>
      </w:r>
    </w:p>
    <w:p w:rsidR="004D6595" w:rsidRDefault="0004234F" w:rsidP="00F536E8">
      <w:pPr>
        <w:widowControl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беспечить своевременн</w:t>
      </w:r>
      <w:r>
        <w:rPr>
          <w:rFonts w:ascii="Liberation Serif" w:hAnsi="Liberation Serif" w:cs="Liberation Serif"/>
          <w:sz w:val="28"/>
          <w:szCs w:val="28"/>
        </w:rPr>
        <w:t xml:space="preserve">ую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передачу информации о ландшафтных (природных) пожарах на территории Артемовского городского округа главе Артемовского городского округа, в Региональную диспетчерскую службу лесного хозяйства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ситуационно-кризисный центр Свердловской области;</w:t>
      </w:r>
    </w:p>
    <w:p w:rsidR="004D6595" w:rsidRDefault="0004234F" w:rsidP="00F536E8">
      <w:pPr>
        <w:widowControl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обеспечить незамедлительно, вначале с </w:t>
      </w:r>
      <w:r w:rsidR="009536C6">
        <w:rPr>
          <w:rFonts w:ascii="Liberation Serif" w:hAnsi="Liberation Serif" w:cs="Liberation Serif"/>
          <w:sz w:val="28"/>
          <w:szCs w:val="28"/>
        </w:rPr>
        <w:t xml:space="preserve">использованием телефонной связи, </w:t>
      </w:r>
      <w:r>
        <w:rPr>
          <w:rFonts w:ascii="Liberation Serif" w:hAnsi="Liberation Serif" w:cs="Liberation Serif"/>
          <w:sz w:val="28"/>
          <w:szCs w:val="28"/>
        </w:rPr>
        <w:t>затем в письменном виде предоставление в Артемовскую городскую прокуратуру информации по ландшафтным (природным ) пожарам и фактам возгораний помещений, зданий, строений, сооружений  по установлению в течение суток причин возгорания и оценке своевременности принятых мер к ликвидации пожаров, по фактам возгораний на значительной площади проводить незамедлительные проверки оперативности реагирования служб пожаротушения, полноту привлекаемых сил и средств.  Срок – в течении пожароопасного периода.</w:t>
      </w:r>
    </w:p>
    <w:p w:rsidR="004D6595" w:rsidRDefault="0004234F" w:rsidP="00F536E8">
      <w:pPr>
        <w:widowControl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8. Рекомендовать руководителям организаций, индивидуальным предпринимателям, занимающимся использованием лесных   участков с целью заготовки и переработки древесины, а также осуществляющим другие виды использования лесных участков, обслуживанием автомобильных дорог и путей железнодорожного транспорта на территории Артемовского городского округа, в срок до 1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.04.2024: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проанализировать допущенные в 2023 году нарушения пожарной безопасности в лесах, ставшие причиной возникновения и распространения лесных и ландшафтных (природных) пожаров, и обеспечить их устранение к началу пожароопасного периода 2024 года;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механизированные отряды по тушению лесных и (или) ландшафтных (природных) пожаров и укомплектовать их противопожарной техникой и оборудованием согласно нормам обеспечения;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при необходимости внести изменения в оперативные планы пожаротушения на деревообрабатывающих предприятиях;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создать противопожарные барьеры вокруг производственных объектов, находящихся в пользовании и владении;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провести полную очистку лесосек, полос отвода автомобильных дорог, придорожных полос вдоль железных дорог от порубочных остатков и горючих материалов;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в местах проведения на территории земель лесного фонда работ, культурно-массовых и других мероприятий в пожароопасный период 2024 года     иметь    средства    пожаротушения   в    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9. Рекомендовать руководителям организаций, индивидуальным предпринимателям и гражданам, владеющим, пользующимся и (или) распоряжающимся земельными участками, прилегающими к лесным массивам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границах Артемовского городского округа: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провести очистку территорий в полосе отвода автомобильных и железных дорог от сухой растительности, мусора и других горючих материалов;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привлечение для тушения ландшафтных (природных) пожаров работников, а также техники, приспособленной для тушения пожаров, и транспортных средств организаций.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</w:t>
      </w:r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Рекомендовать ПО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«Артемовские электрические сети» филиала ОАО «МРСК Урала» - «Свердловэнерго» (Клименко А.И.), Артемовский РКЭС АО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Облкоммунэнерго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Шабунин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Н.С.):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получении неблагоприятного прогноза погодных условий на территории Артемовского городского округа от оперативного дежурного МКУ АГО «ЕДДС», с целью недопущения возникновения возгораний от линий электропередач, осуществлять отключение воздушных линий электропередач 0,4 </w:t>
      </w:r>
      <w:proofErr w:type="spellStart"/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</w:t>
      </w:r>
      <w:proofErr w:type="spellEnd"/>
      <w:r w:rsidR="00846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неизолированными проводами;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массивов;</w:t>
      </w:r>
    </w:p>
    <w:p w:rsidR="004D6595" w:rsidRDefault="0004234F" w:rsidP="00F536E8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обеспечить очистку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охранных зон воздушных линий электропередачи;</w:t>
      </w:r>
    </w:p>
    <w:p w:rsidR="004D6595" w:rsidRDefault="0004234F" w:rsidP="00F536E8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234F">
        <w:rPr>
          <w:rFonts w:ascii="Liberation Serif" w:hAnsi="Liberation Serif" w:cs="Liberation Serif"/>
          <w:sz w:val="28"/>
          <w:szCs w:val="28"/>
          <w:lang w:eastAsia="ru-RU"/>
        </w:rPr>
        <w:t xml:space="preserve">4)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обеспечить привлечение для тушения ландшафтных (природных) пожаров работников, а также техники, приспособленной для тушения пожаров, и транспортных средств организаций.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Рекомендовать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Режевскому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управлению агропромышленного комплекса Министерства агропромышленного комплекса и потребительского рынка Свердловской области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Саввулиди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П.М.) </w:t>
      </w:r>
      <w:r>
        <w:rPr>
          <w:rFonts w:ascii="Liberation Serif" w:hAnsi="Liberation Serif" w:cs="Liberation Serif"/>
          <w:sz w:val="28"/>
          <w:szCs w:val="28"/>
        </w:rPr>
        <w:t>до начала пожароопасного сезона 2024 года провести разъяснительную работу с руководителями  сельскохозяйственных  организаций (крестьянских (фермерских) хозяйств) владеющих, пользующих и (или) распоряжающихся земельными участками на территории Артемовского городского округа, по вопросам обеспечения пожарной безопасности на подведомственных территориях, на наличие минерализованных полос, средств пожаротушения, емкостей с водой, в том числе соблюдение порядка выжигания сухой травянистой растительности и незамедлительного сообщения о возникающих ландшафтных (природных) пожарах в единую дежурно-диспетчерскую службу Артемовского городского округа.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</w:t>
      </w:r>
      <w:r>
        <w:rPr>
          <w:rFonts w:ascii="Liberation Serif" w:hAnsi="Liberation Serif" w:cs="Liberation Serif"/>
          <w:sz w:val="28"/>
          <w:szCs w:val="28"/>
        </w:rPr>
        <w:t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А.С.):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пожароопасного сезона 2024 года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природными пожарами;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доведение до средств массовой информации оперативного ежедневного прогноза возникновения чрезвычайных ситуаций на территории Артемовского городского округа. Срок – в течении пожароопасного периода.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13. Эвакуационной комиссии Артемовского городского округа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Лесовских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Н.П.) быть в готовности осуществить комплекс мероприятий по организованному выводу населения, пострадавшего от лесных и ландшафтных (природных) пожаров, и его жизнеобеспечению в районах размещения.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14. Управлению образования Артемовского городского округа (Багдасарян Н.В.) до конца учебного 202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-202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организовать проведение занятий с обучающимися </w:t>
      </w:r>
      <w:r w:rsidR="00923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образовательных организаций Артемовского городского округа по правилам пожарной безопасности и правилам поведения при посещении лесных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массивов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15. М</w:t>
      </w:r>
      <w:r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Ергашев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В.Н.):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осуществлять публикацию материалов по противопожарной тематике и информирование населения о действии особого противопожарного режима и режима чрезвычайной ситуации на территории Артемовского городского округа в случае их введения;</w:t>
      </w:r>
    </w:p>
    <w:p w:rsidR="004D6595" w:rsidRDefault="0004234F" w:rsidP="00F536E8">
      <w:pPr>
        <w:pStyle w:val="22"/>
        <w:spacing w:before="0" w:line="232" w:lineRule="auto"/>
        <w:ind w:left="0" w:right="3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 сообщать в сводках о погоде информацию о классе пожарной опасности в лесах, расположенных на территории Артемовского городского округа.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D6595" w:rsidRDefault="0004234F" w:rsidP="00F536E8">
      <w:pPr>
        <w:tabs>
          <w:tab w:val="left" w:pos="720"/>
        </w:tabs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Рекомендовать ООО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Альтекс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-медиа» (Вяткин П.В.), редакторам газет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Егоршинские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вести»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Шарафиева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Т.А.), «Все будет»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Кожевина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И.Е.)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4D6595" w:rsidRDefault="0004234F" w:rsidP="00F536E8">
      <w:pPr>
        <w:tabs>
          <w:tab w:val="left" w:pos="720"/>
        </w:tabs>
        <w:spacing w:after="0" w:line="240" w:lineRule="auto"/>
        <w:ind w:right="3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D6595" w:rsidRDefault="0004234F" w:rsidP="00F536E8">
      <w:pPr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04234F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191C80" w:rsidRPr="00191C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191C80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</w:p>
    <w:p w:rsidR="004D6595" w:rsidRDefault="0004234F" w:rsidP="00F536E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</w:t>
      </w:r>
    </w:p>
    <w:p w:rsidR="004D6595" w:rsidRDefault="0004234F" w:rsidP="00F536E8">
      <w:pPr>
        <w:autoSpaceDE w:val="0"/>
        <w:autoSpaceDN w:val="0"/>
        <w:adjustRightInd w:val="0"/>
        <w:spacing w:after="0" w:line="240" w:lineRule="auto"/>
        <w:ind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                                         К.М.</w:t>
      </w:r>
      <w:r w:rsidR="004F14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Трофимов</w:t>
      </w:r>
    </w:p>
    <w:p w:rsidR="004D6595" w:rsidRDefault="004D6595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907"/>
        <w:gridCol w:w="4395"/>
      </w:tblGrid>
      <w:tr w:rsidR="006E0F78" w:rsidRPr="006E0F78" w:rsidTr="00417555">
        <w:tc>
          <w:tcPr>
            <w:tcW w:w="3191" w:type="dxa"/>
          </w:tcPr>
          <w:p w:rsidR="006E0F78" w:rsidRPr="006E0F78" w:rsidRDefault="006E0F78" w:rsidP="006E0F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1907" w:type="dxa"/>
          </w:tcPr>
          <w:p w:rsidR="006E0F78" w:rsidRPr="006E0F78" w:rsidRDefault="006E0F78" w:rsidP="006E0F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</w: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1 </w:t>
            </w:r>
          </w:p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22.03.2024</w:t>
            </w: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315-ПА</w:t>
            </w: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6E0F78" w:rsidRPr="006E0F78" w:rsidRDefault="006E0F78" w:rsidP="006E0F78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6E0F78" w:rsidRP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0F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6E0F78" w:rsidRP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0F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оперативной группы при </w:t>
      </w:r>
      <w:r w:rsidRPr="006E0F78">
        <w:rPr>
          <w:rFonts w:ascii="Liberation Serif" w:hAnsi="Liberation Serif" w:cs="Liberation Serif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Pr="006E0F78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6E0F78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  <w:r w:rsidRPr="006E0F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пожароопасный период 2024 года</w:t>
      </w:r>
    </w:p>
    <w:p w:rsidR="006E0F78" w:rsidRP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E0F78" w:rsidRPr="006E0F78" w:rsidRDefault="006E0F78" w:rsidP="006E0F78">
      <w:pPr>
        <w:tabs>
          <w:tab w:val="left" w:pos="1980"/>
        </w:tabs>
        <w:spacing w:after="0" w:line="240" w:lineRule="auto"/>
        <w:ind w:left="2835" w:hanging="2835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E0F78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Миронов А.И.                 заместитель      главы       Артемовского      городского             округа, руководитель оперативной группы;</w:t>
      </w:r>
    </w:p>
    <w:p w:rsidR="006E0F78" w:rsidRPr="006E0F78" w:rsidRDefault="006E0F78" w:rsidP="006E0F78">
      <w:pPr>
        <w:spacing w:after="0" w:line="240" w:lineRule="auto"/>
        <w:ind w:left="2130" w:hanging="213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E0F78" w:rsidRPr="006E0F78" w:rsidRDefault="006E0F78" w:rsidP="006E0F78">
      <w:pPr>
        <w:spacing w:after="0" w:line="240" w:lineRule="auto"/>
        <w:ind w:left="2835" w:hanging="2835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E0F7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Никонов А.С.                      заведующий отделом   </w:t>
      </w:r>
      <w:r w:rsidRPr="006E0F78">
        <w:rPr>
          <w:rFonts w:ascii="Liberation Serif" w:hAnsi="Liberation Serif" w:cs="Liberation Serif"/>
          <w:sz w:val="27"/>
          <w:szCs w:val="27"/>
        </w:rPr>
        <w:t>по   делам  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</w:r>
      <w:r w:rsidRPr="006E0F7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6E0F78" w:rsidRPr="006E0F78" w:rsidRDefault="006E0F78" w:rsidP="006E0F78">
      <w:pPr>
        <w:spacing w:after="0" w:line="240" w:lineRule="auto"/>
        <w:ind w:left="2127" w:hanging="212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E0F78" w:rsidRP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E0F78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Члены оперативной группы:</w:t>
      </w:r>
    </w:p>
    <w:tbl>
      <w:tblPr>
        <w:tblW w:w="94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69"/>
      </w:tblGrid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right="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Шуклин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 А.Ю.</w:t>
            </w:r>
            <w:proofErr w:type="gramEnd"/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6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директор Муниципального казенного учреждения Артемовского городского округа «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Жилкомстрой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» - в границах города Артемовский; 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                  </w:t>
            </w: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Губанов А.А.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right="1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поселка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Буланаш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 - в границах территории, подведомственной Территориальному управлению поселка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Буланаш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Юсупова В.А.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6" w:right="1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Территориального управления поселка Красногвардейский Администрации Артемовского городского округа - в границах территории, подведомственной Территориальному управлению поселка Красногвардейский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Королева Е.А.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6" w:right="132" w:hanging="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поселка Сосновый Бор с подведомственной территорией населенных   пунктов: поселок Белый Яр, село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Писанец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 -  в границах территории, подведомственной Территориальному управлению поселка Сосновый Бор с подведомственной территорией населенных   </w:t>
            </w: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пунктов: поселок Белый Яр, село  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Писанец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Ситников С. Н.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right="132" w:firstLine="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села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Лебёдкино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Боровской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село Антоново, село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Бичур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</w:t>
            </w:r>
            <w:proofErr w:type="gram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  -</w:t>
            </w:r>
            <w:proofErr w:type="gram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границах территории, подведомственной Территориальному управлению села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Лебёдкино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Боровской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село Антоново, село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Бичур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Шмурыгин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6" w:right="132" w:hanging="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села Большое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поселок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Кислянка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поселок Березники Администрации Артемовского городского </w:t>
            </w:r>
            <w:proofErr w:type="gram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  -</w:t>
            </w:r>
            <w:proofErr w:type="gram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границах территории, подведомственной Территориальному управлению села Большое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поселок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Кислянка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поселок Березники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141" w:right="1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Ольков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управления села Покровское с подведомственной территорией населенного пункта поселка Заболотье Администрации Артемовского городского округа - в границах территории, подведомственной Территориальному управлению села Покровское с подведомственной территорией населенного пункта поселка Заболотье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0F78" w:rsidRPr="006E0F78" w:rsidTr="00417555">
        <w:trPr>
          <w:trHeight w:val="561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147" w:right="32" w:firstLine="5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Серебренников В.В.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, деревня Луговая, деревня Родники, село Липино Администрации Артемовского городского округа - в границах территории, подведомственной Территориальному управлению села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, деревня Луговая, деревня Родники, село Липино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0F78" w:rsidRPr="006E0F78" w:rsidTr="00417555">
        <w:trPr>
          <w:trHeight w:val="2973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Никонова Л. Ф.</w:t>
            </w:r>
          </w:p>
          <w:p w:rsidR="006E0F78" w:rsidRPr="006E0F78" w:rsidRDefault="006E0F78" w:rsidP="006E0F78">
            <w:pPr>
              <w:spacing w:after="0" w:line="240" w:lineRule="auto"/>
              <w:ind w:left="152" w:right="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населенного пункта село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 - в границах территории, подведомственной Территориальному управлению села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Шогринского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село </w:t>
            </w:r>
            <w:proofErr w:type="spellStart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  <w:r w:rsidRPr="006E0F78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 </w:t>
            </w:r>
          </w:p>
        </w:tc>
      </w:tr>
      <w:tr w:rsidR="006E0F78" w:rsidRPr="006E0F78" w:rsidTr="00417555">
        <w:trPr>
          <w:trHeight w:val="1717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5" w:right="32" w:hanging="5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Пьянков С.И.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left="6" w:right="1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поселка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Незевай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 - в границах территории, подведомственной Территориальному управлению поселка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Незевай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Артемовского городского округа;</w:t>
            </w:r>
          </w:p>
          <w:p w:rsidR="006E0F78" w:rsidRPr="006E0F78" w:rsidRDefault="006E0F78" w:rsidP="006E0F78">
            <w:pPr>
              <w:spacing w:after="0" w:line="240" w:lineRule="auto"/>
              <w:ind w:left="6" w:right="13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E0F78" w:rsidRPr="006E0F78" w:rsidTr="00417555">
        <w:trPr>
          <w:trHeight w:val="1717"/>
        </w:trPr>
        <w:tc>
          <w:tcPr>
            <w:tcW w:w="2693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right="32" w:firstLine="5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Беспамятных А.А.</w:t>
            </w:r>
          </w:p>
        </w:tc>
        <w:tc>
          <w:tcPr>
            <w:tcW w:w="6769" w:type="dxa"/>
            <w:shd w:val="clear" w:color="auto" w:fill="FFFFFF"/>
          </w:tcPr>
          <w:p w:rsidR="006E0F78" w:rsidRPr="006E0F78" w:rsidRDefault="006E0F78" w:rsidP="006E0F78">
            <w:pPr>
              <w:spacing w:after="0" w:line="240" w:lineRule="auto"/>
              <w:ind w:right="132" w:firstLine="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Территориального управления села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населенного пункта деревня </w:t>
            </w:r>
            <w:proofErr w:type="spellStart"/>
            <w:proofErr w:type="gram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Лисава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 село</w:t>
            </w:r>
            <w:proofErr w:type="gram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Налимово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Администрации Артемовского городского округа - в границах территории, подведомственной Территориальному управлению села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Лисава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Налимово</w:t>
            </w:r>
            <w:proofErr w:type="spellEnd"/>
            <w:r w:rsidRPr="006E0F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Администрации Артемовского городского округа</w:t>
            </w:r>
          </w:p>
        </w:tc>
      </w:tr>
    </w:tbl>
    <w:p w:rsidR="006E0F78" w:rsidRPr="006E0F78" w:rsidRDefault="006E0F78" w:rsidP="006E0F78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E0F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</w:t>
      </w:r>
    </w:p>
    <w:p w:rsidR="006E0F78" w:rsidRDefault="006E0F78" w:rsidP="006E0F7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 </w:t>
      </w:r>
    </w:p>
    <w:p w:rsidR="006E0F78" w:rsidRDefault="006E0F78" w:rsidP="006E0F7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 Администрации</w:t>
      </w:r>
      <w:proofErr w:type="gramEnd"/>
    </w:p>
    <w:p w:rsidR="006E0F78" w:rsidRDefault="006E0F78" w:rsidP="006E0F7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6E0F78" w:rsidRDefault="006E0F78" w:rsidP="006E0F78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22.03.2024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315-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:rsidR="006E0F78" w:rsidRDefault="006E0F78" w:rsidP="006E0F78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Par105"/>
      <w:bookmarkEnd w:id="1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</w:t>
      </w:r>
    </w:p>
    <w:p w:rsid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мероприятий по</w:t>
      </w:r>
      <w:r w:rsidRPr="00B7597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организации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тушения (ландшафтных) природных пожаров на землях всех категорий в границах Артемовского городского округа </w:t>
      </w: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7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93"/>
        <w:gridCol w:w="1701"/>
        <w:gridCol w:w="4111"/>
      </w:tblGrid>
      <w:tr w:rsidR="006E0F78" w:rsidTr="0041755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Ответственные лица за выполнение</w:t>
            </w:r>
          </w:p>
        </w:tc>
      </w:tr>
      <w:tr w:rsidR="006E0F78" w:rsidTr="00417555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Обустройство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Территориальные управления Администрации Артемовского городского округа (далее – ТУ) (Губанов А.А.,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Шмурыгин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И.В., Юсупова В.А., Беспамятных А.А., Пьянков С.И., Ситников С.Н., Королева Е.А., Никонова Л.Ф., Серебренников В.В.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Ольков</w:t>
            </w:r>
            <w:proofErr w:type="spellEnd"/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А.Г.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), Муниципальное казенное учреждение Артемовского городского округа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Жилкомстрой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Шуклин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А.Ю.)</w:t>
            </w:r>
          </w:p>
        </w:tc>
      </w:tr>
      <w:tr w:rsidR="006E0F78" w:rsidTr="00417555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Ежедневный анализ пожарной обстановки, заблаговременное создание группировки сил и средств для защиты населенных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пунктов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объектов экономики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(Никонов А.С.), 54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ПСО  (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Петухов И.В.) (по согласованию)</w:t>
            </w:r>
          </w:p>
        </w:tc>
      </w:tr>
      <w:tr w:rsidR="006E0F78" w:rsidTr="00417555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Выполнение требований «Правил 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hd w:val="clear" w:color="auto" w:fill="FFFFFF"/>
              <w:spacing w:after="0" w:line="240" w:lineRule="auto"/>
              <w:ind w:right="7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Артемовские электрические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сети  филиала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ОАО «МРСК Урала» (Клименко А.И.), Артемовский РКЭС АО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Облкоммунэнерго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                  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Шабунин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Н.С.),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Егоршинская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дистанция инфраструктуры - структурное подразделение</w:t>
            </w:r>
            <w:r w:rsidRPr="006A5C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Свердловской дирек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ции инфраструктуры – структурное подразделение</w:t>
            </w:r>
            <w:r w:rsidRPr="006A5C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Центральной дирекции инфраструктуры  - филиала ОАО «РЖД»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Капицкий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А.С.), Артемовский газовый участок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ГУП СО «Газовые сети»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(Королев А.М.)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Своевременное информирование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оповещение населения о возникновении очагов загораний вблизи лесных массивов или в лесах, а также в случае угрозы жизни и здоровью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Pr="00B7597B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по делам ГОЧС, ПБ и МП (Никонов А.С.), 54 ПСО                    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Петухов И.В.), Государственное казенное пожарно-техническое учреждение Свердловской области «Отряд противопожарной службы Свердловской области № 16»              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Ивлиев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В.Н.), МКУ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АГО «ЕДДС» (Шабанов А.Л.),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организаций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F78" w:rsidTr="00417555">
        <w:trPr>
          <w:trHeight w:val="2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Определение (уточнение) перечня имеющейся автомобильной и тракторной техники, привлекаемой для тушения ландшафтных (природных) пожаров, обеспечение ее исправности, укомплектованности оборудованием, необходимого запаса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по делам ГОЧС, ПБ и МП (Никонов А.С.),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Егоршинский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участок ГБУ СО «Уральская база авиационной охраны лесов» (Никонов Е.А.), руководители организаций 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Координация действий заинтересованных организаций при проведении мероприятий по борьбе с ландшафтными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природными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b w:val="0"/>
                <w:bCs w:val="0"/>
              </w:rPr>
              <w:t>Комиссия по предупреждению и ликвидации последствий чрезвычайных ситуаций и обеспечению пожарной безопасности Артемовского городского округа</w:t>
            </w:r>
            <w:proofErr w:type="gramStart"/>
            <w:r>
              <w:rPr>
                <w:rFonts w:ascii="Liberation Serif" w:eastAsia="Times New Roman" w:hAnsi="Liberation Serif" w:cs="Liberation Serif"/>
                <w:b w:val="0"/>
                <w:bCs w:val="0"/>
              </w:rPr>
              <w:t xml:space="preserve">   (</w:t>
            </w:r>
            <w:proofErr w:type="gramEnd"/>
            <w:r>
              <w:rPr>
                <w:rFonts w:ascii="Liberation Serif" w:eastAsia="Times New Roman" w:hAnsi="Liberation Serif" w:cs="Liberation Serif"/>
                <w:b w:val="0"/>
                <w:bCs w:val="0"/>
              </w:rPr>
              <w:t>далее – КЧС и ОПБ Артемовского городского округа)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Принятие мер по созданию необходимых запасов материальных и финансовых ресурсов для жизнеобеспечения населения в условиях ЧС, связанных с ландшафтными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природными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Liberation Serif" w:eastAsia="Times New Roman" w:hAnsi="Liberation Serif" w:cs="Liberation Serif"/>
                <w:b w:val="0"/>
                <w:bCs w:val="0"/>
              </w:rPr>
            </w:pPr>
            <w:r>
              <w:rPr>
                <w:rFonts w:ascii="Liberation Serif" w:eastAsia="Times New Roman" w:hAnsi="Liberation Serif" w:cs="Liberation Serif"/>
                <w:b w:val="0"/>
                <w:bCs w:val="0"/>
              </w:rPr>
              <w:t>КЧС и ОПБ Артемовского городского округа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работы патрульных, патрульно-маневренных, патрульно-контрольных 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групп,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патрулировании городских лесов и населенных пунктов</w:t>
            </w:r>
          </w:p>
          <w:p w:rsidR="006E0F78" w:rsidRDefault="006E0F78" w:rsidP="00417555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началом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по делам ГОЧС, ПБ и МП (Никонов А.С.), ТУ (Губанов А.А.,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Шмурыгин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И.В., Юсупова В.А., Беспамятных А.А., Пьянков С.И., Ситников С.Н., Королева Е.А., Никонова Л.Ф., Серебренников В.В.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Ольков</w:t>
            </w:r>
            <w:proofErr w:type="spellEnd"/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А.Г.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Pr="00B7597B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установление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территории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особого противопожарного режима и принятие мер по ограничению посещения лесов, запрещению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разведения костров в период его действия</w:t>
            </w:r>
            <w:r w:rsidRPr="00B759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а также установление муниципального уровня реагирования на ландшафтные пожары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</w:p>
        </w:tc>
      </w:tr>
    </w:tbl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3</w:t>
      </w:r>
    </w:p>
    <w:p w:rsidR="006E0F78" w:rsidRDefault="006E0F78" w:rsidP="006E0F78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                                                        постановлением Администрации</w:t>
      </w:r>
    </w:p>
    <w:p w:rsidR="006E0F78" w:rsidRDefault="006E0F78" w:rsidP="006E0F78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6E0F78" w:rsidRDefault="006E0F78" w:rsidP="006E0F78">
      <w:pPr>
        <w:tabs>
          <w:tab w:val="left" w:pos="5387"/>
        </w:tabs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22.03.2024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315-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:rsidR="006E0F78" w:rsidRDefault="006E0F78" w:rsidP="006E0F7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bookmarkStart w:id="2" w:name="Par38"/>
      <w:bookmarkEnd w:id="2"/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РЕГЛАМЕНТ</w:t>
      </w:r>
    </w:p>
    <w:p w:rsid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проводимых мероприятий на территории Артемовского городского округа </w:t>
      </w:r>
    </w:p>
    <w:p w:rsidR="006E0F78" w:rsidRDefault="006E0F78" w:rsidP="006E0F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зависимости от класса пожарной опасности по условиям погоды</w:t>
      </w: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918"/>
        <w:gridCol w:w="5953"/>
      </w:tblGrid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 пожарной опасности</w:t>
            </w:r>
          </w:p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8" w:rsidRDefault="006E0F78" w:rsidP="00417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Основные проводимые мероприятия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Сбор, обработка и передача в ЕДДС* информации по предупреждению пожаров в лесах и обеспечению пожарной безопасности.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Разработка и реализация мероприятий по предупреждению ландшафтных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пожаров и их тушению.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Пропаганда среди населения </w:t>
            </w:r>
            <w:hyperlink r:id="rId9" w:history="1">
              <w:r>
                <w:rPr>
                  <w:rStyle w:val="a6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Правил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противопожарного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режима в Российской Федерации и Правил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пожарной безопасности в лесах Российской Федерации.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Мероприятия, предусмотренные при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классе пожарной опасности, и патрулирование мест массового отдыха населения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Введение, при необходимости, круглосуточного дежурства должностных лиц Администрации Артемовского городского округа.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 Принятие мер по предупреждению возникновения и тушению природных пожаров.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Уточнение соглашений, планов и инструкций по взаимодействию.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Усиление противопожарной пропаганды.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Проведение наземного патрулирования.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Организация дежурства работников Администрации и других ответственных лиц за тушение ландшафтных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пожаров.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:rsidR="006E0F78" w:rsidRPr="00747C49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Установление особого противопожарного режима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или режима ЧС в леса.</w:t>
            </w:r>
          </w:p>
        </w:tc>
      </w:tr>
      <w:tr w:rsidR="006E0F78" w:rsidTr="0041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чрезвычайной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Непрерывный контроль состояния окружающей среды, прогнозирование развития пожарной обстановки. Проведение наземного патрулирования в наиболее опасных местах, круглосуточно.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Оповещение организаций и населения при возникновении чрезвычайной ситуации. Усиление противопожарной пропаганды.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Максимальное ограничение доступа в лесные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массивы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населения и автотранспорта.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Установка щитов, предупреждающих о чрезвычайной пожарной опасности в лесах.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Установка круглосуточного дежурства ответственных лиц.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Проведение мероприятий по защите населения и территорий от возможных чрезвычайных ситуаций.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9. Проведение мероприятий по жизнеобеспечению населения при возникновении ЧС.</w:t>
            </w:r>
          </w:p>
          <w:p w:rsidR="006E0F78" w:rsidRDefault="006E0F78" w:rsidP="00417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 Проведение при необходимости эвакуации населения, материальных и культурных ценностей</w:t>
            </w:r>
          </w:p>
        </w:tc>
      </w:tr>
    </w:tbl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*ЕДДС – Муниципальное казенное учреждение Артемовского городского округа «Единая дежурно-диспетчерская служба»</w:t>
      </w: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6E0F7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0F78" w:rsidRDefault="006E0F78" w:rsidP="00F536E8">
      <w:pPr>
        <w:spacing w:after="0" w:line="240" w:lineRule="auto"/>
        <w:ind w:left="5103" w:right="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6E0F78" w:rsidSect="00067161">
      <w:headerReference w:type="default" r:id="rId10"/>
      <w:pgSz w:w="11909" w:h="16834"/>
      <w:pgMar w:top="1134" w:right="680" w:bottom="993" w:left="1701" w:header="720" w:footer="720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D7" w:rsidRDefault="00E72CD7">
      <w:pPr>
        <w:spacing w:line="240" w:lineRule="auto"/>
      </w:pPr>
      <w:r>
        <w:separator/>
      </w:r>
    </w:p>
  </w:endnote>
  <w:endnote w:type="continuationSeparator" w:id="0">
    <w:p w:rsidR="00E72CD7" w:rsidRDefault="00E72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D7" w:rsidRDefault="00E72CD7">
      <w:pPr>
        <w:spacing w:after="0"/>
      </w:pPr>
      <w:r>
        <w:separator/>
      </w:r>
    </w:p>
  </w:footnote>
  <w:footnote w:type="continuationSeparator" w:id="0">
    <w:p w:rsidR="00E72CD7" w:rsidRDefault="00E72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76488"/>
    </w:sdtPr>
    <w:sdtEndPr>
      <w:rPr>
        <w:rFonts w:ascii="Liberation Serif" w:hAnsi="Liberation Serif"/>
        <w:sz w:val="28"/>
      </w:rPr>
    </w:sdtEndPr>
    <w:sdtContent>
      <w:p w:rsidR="004D6595" w:rsidRDefault="0004234F">
        <w:pPr>
          <w:pStyle w:val="af3"/>
          <w:jc w:val="center"/>
          <w:rPr>
            <w:rFonts w:ascii="Liberation Serif" w:hAnsi="Liberation Serif"/>
            <w:sz w:val="28"/>
          </w:rPr>
        </w:pPr>
        <w:r>
          <w:rPr>
            <w:rFonts w:ascii="Liberation Serif" w:hAnsi="Liberation Serif"/>
            <w:sz w:val="28"/>
          </w:rPr>
          <w:fldChar w:fldCharType="begin"/>
        </w:r>
        <w:r>
          <w:rPr>
            <w:rFonts w:ascii="Liberation Serif" w:hAnsi="Liberation Serif"/>
            <w:sz w:val="28"/>
          </w:rPr>
          <w:instrText>PAGE   \* MERGEFORMAT</w:instrText>
        </w:r>
        <w:r>
          <w:rPr>
            <w:rFonts w:ascii="Liberation Serif" w:hAnsi="Liberation Serif"/>
            <w:sz w:val="28"/>
          </w:rPr>
          <w:fldChar w:fldCharType="separate"/>
        </w:r>
        <w:r w:rsidR="006E0F78">
          <w:rPr>
            <w:rFonts w:ascii="Liberation Serif" w:hAnsi="Liberation Serif"/>
            <w:noProof/>
            <w:sz w:val="28"/>
          </w:rPr>
          <w:t>16</w:t>
        </w:r>
        <w:r>
          <w:rPr>
            <w:rFonts w:ascii="Liberation Serif" w:hAnsi="Liberation Serif"/>
            <w:sz w:val="28"/>
          </w:rPr>
          <w:fldChar w:fldCharType="end"/>
        </w:r>
      </w:p>
    </w:sdtContent>
  </w:sdt>
  <w:p w:rsidR="004D6595" w:rsidRDefault="004D659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3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34F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A64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161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A0D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3BF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A69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C80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3441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3A3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2EF8"/>
    <w:rsid w:val="0025303E"/>
    <w:rsid w:val="002537B9"/>
    <w:rsid w:val="00253880"/>
    <w:rsid w:val="00254980"/>
    <w:rsid w:val="00255266"/>
    <w:rsid w:val="00255B00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04E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128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A02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916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51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B26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595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5B96"/>
    <w:rsid w:val="004E6670"/>
    <w:rsid w:val="004E66D5"/>
    <w:rsid w:val="004E71AF"/>
    <w:rsid w:val="004F140D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810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27BAE"/>
    <w:rsid w:val="00527DD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160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4DC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4F08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3EE"/>
    <w:rsid w:val="00643B37"/>
    <w:rsid w:val="00643CAD"/>
    <w:rsid w:val="0064447F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CF2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F78"/>
    <w:rsid w:val="006E15D9"/>
    <w:rsid w:val="006E2E4A"/>
    <w:rsid w:val="006E3347"/>
    <w:rsid w:val="006E370E"/>
    <w:rsid w:val="006E460F"/>
    <w:rsid w:val="006E50A8"/>
    <w:rsid w:val="006E547C"/>
    <w:rsid w:val="006E572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A89"/>
    <w:rsid w:val="00731C46"/>
    <w:rsid w:val="0073262D"/>
    <w:rsid w:val="0073286F"/>
    <w:rsid w:val="00732BFB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C9E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A09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528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433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0AE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2F46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5E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53F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6C6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D7A5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92D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47F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B3B"/>
    <w:rsid w:val="00A40C7B"/>
    <w:rsid w:val="00A41FE2"/>
    <w:rsid w:val="00A4266F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4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4B4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27AA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52E5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84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697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5E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040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D4B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C8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032"/>
    <w:rsid w:val="00D414D6"/>
    <w:rsid w:val="00D42F34"/>
    <w:rsid w:val="00D4388E"/>
    <w:rsid w:val="00D43D0F"/>
    <w:rsid w:val="00D4436A"/>
    <w:rsid w:val="00D44774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CB9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879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12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CD7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982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2DC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FE3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AD7"/>
    <w:rsid w:val="00F50B27"/>
    <w:rsid w:val="00F52E7C"/>
    <w:rsid w:val="00F530FE"/>
    <w:rsid w:val="00F533C3"/>
    <w:rsid w:val="00F536B0"/>
    <w:rsid w:val="00F536E8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0D9E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CB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FC9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285D08C2"/>
    <w:rsid w:val="2A0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B492-6381-486C-82D0-CE4752A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"/>
    <w:link w:val="af6"/>
    <w:unhideWhenUsed/>
    <w:qFormat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e">
    <w:name w:val="Текст примечания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qFormat/>
    <w:rPr>
      <w:color w:val="808080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qFormat/>
  </w:style>
  <w:style w:type="character" w:customStyle="1" w:styleId="aff1">
    <w:name w:val="Основной текст_"/>
    <w:link w:val="10"/>
    <w:qFormat/>
    <w:locked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1"/>
    <w:qFormat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 с отступом Знак"/>
    <w:basedOn w:val="a0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qFormat/>
  </w:style>
  <w:style w:type="paragraph" w:styleId="af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hd w:val="clear" w:color="auto" w:fill="FFFFFF"/>
      <w:spacing w:before="100" w:beforeAutospacing="1" w:after="0" w:line="238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qFormat/>
    <w:pPr>
      <w:spacing w:before="240" w:after="0" w:line="240" w:lineRule="atLeas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qFormat/>
    <w:rsid w:val="006E0F78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6E0F78"/>
    <w:pPr>
      <w:shd w:val="clear" w:color="auto" w:fill="FFFFFF"/>
      <w:spacing w:before="300" w:after="0" w:line="274" w:lineRule="exact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9F2D48E477D19D58E72E1A90492661FA527DF490453283305A2A02E7687BC824D6330546851xE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96C4-AF84-44DE-893B-E41F41D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Татьяна Николаевна Нохрина</cp:lastModifiedBy>
  <cp:revision>4</cp:revision>
  <cp:lastPrinted>2024-03-21T07:49:00Z</cp:lastPrinted>
  <dcterms:created xsi:type="dcterms:W3CDTF">2024-03-22T07:47:00Z</dcterms:created>
  <dcterms:modified xsi:type="dcterms:W3CDTF">2024-03-22T07:50:00Z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C337662506B3496680E1236E4606B839_12</vt:lpwstr>
  </property>
</Properties>
</file>