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FD" w:rsidRPr="004C30D7" w:rsidRDefault="00A862FD" w:rsidP="00A862F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DB8DE8" wp14:editId="70DFE07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FD" w:rsidRPr="003B2FC7" w:rsidRDefault="00A862FD" w:rsidP="00A862FD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862FD" w:rsidRPr="003B2FC7" w:rsidRDefault="00A862FD" w:rsidP="00A862FD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РАСПОРЯЖЕНИЕ</w:t>
      </w:r>
    </w:p>
    <w:p w:rsidR="00A862FD" w:rsidRPr="004C30D7" w:rsidRDefault="00A862FD" w:rsidP="00A862F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A862FD" w:rsidRPr="003B2FC7" w:rsidRDefault="00A862FD" w:rsidP="00A862F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02.03.2021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0064F2" w:rsidRDefault="000064F2" w:rsidP="0080714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64F2" w:rsidRDefault="000064F2" w:rsidP="0080714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C46" w:rsidRDefault="00125C46" w:rsidP="0080714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2A16" w:rsidRPr="005D3310" w:rsidRDefault="00D944D5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7D2A16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плана работы инвестиционного уполномоченного</w:t>
      </w:r>
    </w:p>
    <w:p w:rsidR="00D944D5" w:rsidRPr="005D3310" w:rsidRDefault="007D2A16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городско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округ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 на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20</w:t>
      </w:r>
      <w:r w:rsidR="001C1A6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21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- 20</w:t>
      </w:r>
      <w:r w:rsidR="000E23CC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</w:t>
      </w:r>
      <w:r w:rsidR="001C1A6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</w:t>
      </w:r>
    </w:p>
    <w:p w:rsidR="00D944D5" w:rsidRPr="005D3310" w:rsidRDefault="00D944D5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944D5" w:rsidRPr="005D3310" w:rsidRDefault="00D944D5" w:rsidP="00807144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E4141E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создания благоприятного инвестиционного климата, формирования механизмов по созданию благоприятных условий для привлечения инвестиций и реализации инвестиционных проектов </w:t>
      </w:r>
      <w:r w:rsidR="00961D4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Артемовского городского округа</w:t>
      </w:r>
      <w:r w:rsidR="00F355C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Федеральным законом 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F355C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</w:t>
      </w:r>
      <w:r w:rsidR="007D5C18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0D5A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30, 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31 Устава Артемовского городского округа, </w:t>
      </w:r>
    </w:p>
    <w:p w:rsidR="00D944D5" w:rsidRPr="005D3310" w:rsidRDefault="00D944D5" w:rsidP="00807144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работы инвестиционного уполномоченного в Артемовском городском округе на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20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(Приложение).</w:t>
      </w:r>
    </w:p>
    <w:p w:rsidR="00C60F09" w:rsidRPr="005D3310" w:rsidRDefault="00732B00" w:rsidP="00C60F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60F0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944D5" w:rsidRPr="005D3310" w:rsidRDefault="00D944D5" w:rsidP="00C60F09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C60F09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0D5A" w:rsidRPr="005D3310" w:rsidRDefault="00D944D5" w:rsidP="00C60F09">
      <w:pPr>
        <w:spacing w:after="0" w:line="240" w:lineRule="auto"/>
        <w:ind w:right="1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8C7E8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7144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8F0D5A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961D4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807144" w:rsidRPr="005D3310" w:rsidRDefault="00807144" w:rsidP="00807144">
      <w:pPr>
        <w:spacing w:after="0" w:line="240" w:lineRule="auto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Default="00C60F09" w:rsidP="00BC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2FD" w:rsidRDefault="00A862FD" w:rsidP="00BC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62FD" w:rsidSect="00DD3CDD">
          <w:footerReference w:type="default" r:id="rId8"/>
          <w:type w:val="continuous"/>
          <w:pgSz w:w="11907" w:h="16840" w:code="9"/>
          <w:pgMar w:top="851" w:right="992" w:bottom="1135" w:left="1701" w:header="720" w:footer="567" w:gutter="0"/>
          <w:cols w:space="720"/>
          <w:formProt w:val="0"/>
          <w:titlePg/>
          <w:docGrid w:linePitch="299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A862FD" w:rsidTr="003C00F0">
        <w:tc>
          <w:tcPr>
            <w:tcW w:w="5495" w:type="dxa"/>
          </w:tcPr>
          <w:p w:rsidR="00A862FD" w:rsidRDefault="00A862FD" w:rsidP="003C00F0">
            <w:pPr>
              <w:tabs>
                <w:tab w:val="left" w:pos="6946"/>
              </w:tabs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862FD" w:rsidRDefault="00A862FD" w:rsidP="003C00F0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</w:p>
          <w:p w:rsidR="00A862FD" w:rsidRDefault="00A862FD" w:rsidP="003C00F0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862FD" w:rsidRDefault="00A862FD" w:rsidP="003C00F0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Утвержден 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ем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862FD" w:rsidRDefault="00A862FD" w:rsidP="00A862FD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02.03.2021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35-РА</w:t>
            </w:r>
            <w:bookmarkStart w:id="0" w:name="_GoBack"/>
            <w:bookmarkEnd w:id="0"/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A862FD" w:rsidRDefault="00A862FD" w:rsidP="00A862FD">
      <w:pPr>
        <w:tabs>
          <w:tab w:val="left" w:pos="6946"/>
        </w:tabs>
        <w:spacing w:after="0" w:line="240" w:lineRule="auto"/>
        <w:ind w:right="-1" w:firstLine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862FD" w:rsidRPr="001F21CE" w:rsidRDefault="00A862FD" w:rsidP="00A862FD">
      <w:pPr>
        <w:spacing w:after="0" w:line="240" w:lineRule="auto"/>
        <w:ind w:right="-1" w:firstLine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862FD" w:rsidRPr="001F21CE" w:rsidRDefault="00A862FD" w:rsidP="00A862F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 работы инвестиционного уполномоченного </w:t>
      </w:r>
    </w:p>
    <w:p w:rsidR="00A862FD" w:rsidRPr="001F21CE" w:rsidRDefault="00A862FD" w:rsidP="00A862F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Артемовском городском округе на 2021 – 2022 годы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2977"/>
      </w:tblGrid>
      <w:tr w:rsidR="00A862FD" w:rsidRPr="001F21CE" w:rsidTr="003C00F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A862FD" w:rsidRPr="001F21CE" w:rsidTr="003C00F0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Участие в разработке и определении приоритетных направлений инвестиционного развития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июль-август 2021 года,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июль-август 2022 года</w:t>
            </w:r>
          </w:p>
        </w:tc>
      </w:tr>
      <w:tr w:rsidR="00A862FD" w:rsidRPr="001F21CE" w:rsidTr="003C00F0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Участие в разработке, реализации и сопровождении мероприятий по привлечению внешних и внутренних инвестиций в развитие экономики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62FD" w:rsidRPr="001F21CE" w:rsidTr="003C00F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</w:t>
            </w:r>
            <w:r w:rsidRPr="001F21C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совершенствованию нормативной правовой базы Свердловской области, совершенствованию муниципальных нормативных правовых актов Артемовского городского округа, повышению уровня инвестиционной привлекательности, формированию благоприятного инвестиционного климата на территории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62FD" w:rsidRPr="001F21CE" w:rsidTr="003C00F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Оказание содействия инвесторам и инициаторам инвестиционных проектов в предоставлении в установленном порядке муниципальной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62FD" w:rsidRPr="001F21CE" w:rsidTr="003C00F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Контроль за подготовкой отчета об оценке эффективности использования и управления муниципальным имуществом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25 мая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2021 года, 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25 мая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2022 года,</w:t>
            </w:r>
          </w:p>
        </w:tc>
      </w:tr>
      <w:tr w:rsidR="00A862FD" w:rsidRPr="001F21CE" w:rsidTr="003C00F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Организация деятельности рабочей группы по вопросам оказания имущественной поддержки субъектам малого и среднего предпринимательства, </w:t>
            </w:r>
            <w:proofErr w:type="spellStart"/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самозанятым</w:t>
            </w:r>
            <w:proofErr w:type="spellEnd"/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гражданам на территории Артемовского городского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</w:tr>
      <w:tr w:rsidR="00A862FD" w:rsidRPr="001F21CE" w:rsidTr="003C00F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  <w:t xml:space="preserve">Организационное сопровождение инвестиционных проектов. </w:t>
            </w:r>
          </w:p>
          <w:p w:rsidR="00A862FD" w:rsidRPr="001F21CE" w:rsidRDefault="00A862FD" w:rsidP="003C00F0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  <w:t>Координация деятельности Администрации Артемовского городского округа, органов местного самоуправления Артемовского городского округа при сопровождении инвестиционных проектов на территории Артемовского городского округа.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  <w:t>Обеспечение взаимодействия с территориальными органами исполнительной власти по реализации инвестиционных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62FD" w:rsidRPr="001F21CE" w:rsidTr="003C00F0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Ведение базы данных реализованных, реализуемых и потенциально возможных к реализации проектов, предложений и инвестиционных инициатив на территории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62FD" w:rsidRPr="001F21CE" w:rsidTr="003C00F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9.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Организация формирования и контроль актуализации инвестиционного паспорта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ежегодно, в срок, установленный Министерством инвестиций и развития Свердловской области</w:t>
            </w:r>
          </w:p>
        </w:tc>
      </w:tr>
      <w:tr w:rsidR="00A862FD" w:rsidRPr="001F21CE" w:rsidTr="003C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Организация и проведение заседаний </w:t>
            </w:r>
            <w:r w:rsidRPr="001F21CE"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ru-RU"/>
              </w:rPr>
              <w:t>координационного Совета по инвестициям и развитию предпринимательства при главе Артемовского городского округа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1F21CE">
              <w:rPr>
                <w:rFonts w:ascii="Liberation Serif" w:eastAsia="Calibri" w:hAnsi="Liberation Serif" w:cs="Liberation Serif"/>
                <w:sz w:val="26"/>
                <w:szCs w:val="26"/>
              </w:rPr>
              <w:t>по мере необходимости, но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Pr="001F21CE">
              <w:rPr>
                <w:rFonts w:ascii="Liberation Serif" w:eastAsia="Calibri" w:hAnsi="Liberation Serif" w:cs="Liberation Serif"/>
                <w:sz w:val="26"/>
                <w:szCs w:val="26"/>
              </w:rPr>
              <w:t>не реже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Pr="001F21CE">
              <w:rPr>
                <w:rFonts w:ascii="Liberation Serif" w:eastAsia="Calibri" w:hAnsi="Liberation Serif" w:cs="Liberation Serif"/>
                <w:sz w:val="26"/>
                <w:szCs w:val="26"/>
              </w:rPr>
              <w:t>1-ого раза в квартал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Размещение и актуализация на официальном сайте Артемовского городского округа в информационно-телекоммуникационной сети «Интернет» в разделе «Экономика и финансы», подразделах «Инвестиционная деятельность» и «Малое и среднее предпринимательство» соответствующей информации по инвестиционной деятельности (в том числе информации по инвестиционному уполномоченному; муниципальных нормативных правовых актов Артемовского городского округа в сфере инвестиционной деятельности; об инвестиционных площадках и свободных земельных участках, пригодных для ведения производственной, логистической и торговой деятельности в границах Артемовского городского округа; о мерах государственной и муниципальной поддержки инвестиционных проектов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 течение 3 рабочих дней со дня получения информации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Контроль реализации Плана мероприятий («дорожная карта») по повышению инвестиционной привлекательности Артемовского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января 202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года, 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до 20 июля 2021 года,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до 20 января 2022 года, 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июля 2022 года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Организация разработки прогноза социально - экономического развития Артемовского городского округа на среднесрочный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июнь 2021 года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июнь 2022 года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Утверждение экспертных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заключений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о проведении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оценк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и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регулирующего воздействия проектов </w:t>
            </w:r>
            <w:proofErr w:type="gramStart"/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муниципальных правовых актов Артемовского городского округа и экспертизы</w:t>
            </w:r>
            <w:proofErr w:type="gramEnd"/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действующих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муниципальных правовых актов Артемовского городского округа, с целью исключения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DD5BB7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 течение 2 рабочих дней со дня поступления экспертного заключения об оценке регулирующего воздействия проектов муниципальных правовых актов Артемовского городского округа и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ли</w:t>
            </w:r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заключения экспертизы</w:t>
            </w:r>
            <w:proofErr w:type="gramEnd"/>
            <w:r w:rsidRPr="0067280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действующих муниципальных правовых актов Артемовского городского округа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Организация мониторинга реализации плана мероприятий по реализации Стратегии социально-экономического развития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2021-2022 годы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Анализ итогов социально-экономического развития Артемовского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до 20 мая 2021 года, 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августа 2021 года,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ноября 2021 года,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до 20 мая 2022 года, </w:t>
            </w:r>
          </w:p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августа 2022 года,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до 20 ноября 2022 года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Организация работы по размещению информации в ПК «ИСУФ» для формирования показателей инвестиционного рейтинга состояния инвестиционного климата</w:t>
            </w:r>
            <w:r w:rsidRPr="001F21CE">
              <w:rPr>
                <w:rFonts w:ascii="Liberation Serif" w:hAnsi="Liberation Serif" w:cs="Liberation Serif"/>
              </w:rPr>
              <w:t xml:space="preserve">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 Артемовском городском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март 2021 года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,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март 2022 года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Мониторинг разработки и актуализации административных регламентов оказания муниципальных услуг: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1)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</w:t>
            </w: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2)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3) Утверждение схемы расположения земельного участка или земельных участков на кадастровом плане территории;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4) Выдача разрешений на строительство, реконструкцию объектов капитального строительства;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5) Выдача разрешений на ввод в эксплуатацию объектов капитального строительства;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6) Выдача градостроительных планов земельных участков, расположенных на территории Артемовского городского округа;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7) Присвоение адреса объекту недвижимости;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8) 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округа;</w:t>
            </w:r>
          </w:p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9) Выдача ордера (разрешения) на производство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7A6356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земляных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2021-2022 годы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Проведение заседаний Проектного офиса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по мере необходимости, но не реже 1 раза в квартал</w:t>
            </w:r>
          </w:p>
        </w:tc>
      </w:tr>
      <w:tr w:rsidR="00A862FD" w:rsidRPr="001F21CE" w:rsidTr="003C00F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Участие в заседаниях Проектного комитета 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FD" w:rsidRPr="001F21CE" w:rsidRDefault="00A862FD" w:rsidP="003C00F0">
            <w:pPr>
              <w:pStyle w:val="a9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F21C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A862FD" w:rsidRPr="001F21CE" w:rsidRDefault="00A862FD" w:rsidP="00A862FD">
      <w:pPr>
        <w:pStyle w:val="a9"/>
        <w:rPr>
          <w:rFonts w:ascii="Liberation Serif" w:hAnsi="Liberation Serif" w:cs="Liberation Serif"/>
        </w:rPr>
      </w:pPr>
    </w:p>
    <w:p w:rsidR="00A862FD" w:rsidRPr="001F21CE" w:rsidRDefault="00A862FD" w:rsidP="00A862FD">
      <w:pPr>
        <w:tabs>
          <w:tab w:val="left" w:pos="5760"/>
        </w:tabs>
        <w:rPr>
          <w:rFonts w:ascii="Liberation Serif" w:hAnsi="Liberation Serif" w:cs="Liberation Serif"/>
        </w:rPr>
      </w:pPr>
      <w:r w:rsidRPr="001F21CE">
        <w:rPr>
          <w:rFonts w:ascii="Liberation Serif" w:hAnsi="Liberation Serif" w:cs="Liberation Serif"/>
        </w:rPr>
        <w:tab/>
      </w:r>
    </w:p>
    <w:p w:rsidR="00C60F09" w:rsidRDefault="00C60F09" w:rsidP="00BC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09" w:rsidRDefault="00C60F09" w:rsidP="00BC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60" w:rsidRDefault="000A1460" w:rsidP="00C60F09">
      <w:pPr>
        <w:tabs>
          <w:tab w:val="left" w:pos="6946"/>
        </w:tabs>
        <w:spacing w:after="0" w:line="240" w:lineRule="auto"/>
        <w:ind w:right="-1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460" w:rsidSect="00A862FD">
      <w:pgSz w:w="11907" w:h="16840" w:code="9"/>
      <w:pgMar w:top="851" w:right="992" w:bottom="1135" w:left="1701" w:header="72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BB" w:rsidRDefault="003911BB">
      <w:pPr>
        <w:spacing w:after="0" w:line="240" w:lineRule="auto"/>
      </w:pPr>
      <w:r>
        <w:separator/>
      </w:r>
    </w:p>
  </w:endnote>
  <w:endnote w:type="continuationSeparator" w:id="0">
    <w:p w:rsidR="003911BB" w:rsidRDefault="003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B7" w:rsidRDefault="00E120B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BB" w:rsidRDefault="003911BB">
      <w:pPr>
        <w:spacing w:after="0" w:line="240" w:lineRule="auto"/>
      </w:pPr>
      <w:r>
        <w:separator/>
      </w:r>
    </w:p>
  </w:footnote>
  <w:footnote w:type="continuationSeparator" w:id="0">
    <w:p w:rsidR="003911BB" w:rsidRDefault="00391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5"/>
    <w:rsid w:val="000008A6"/>
    <w:rsid w:val="00000D1B"/>
    <w:rsid w:val="00001F80"/>
    <w:rsid w:val="000048B1"/>
    <w:rsid w:val="00004E34"/>
    <w:rsid w:val="00004EE5"/>
    <w:rsid w:val="000064F2"/>
    <w:rsid w:val="00007E72"/>
    <w:rsid w:val="00014A68"/>
    <w:rsid w:val="00017729"/>
    <w:rsid w:val="00021132"/>
    <w:rsid w:val="00023761"/>
    <w:rsid w:val="00023B87"/>
    <w:rsid w:val="00024FE0"/>
    <w:rsid w:val="0003122E"/>
    <w:rsid w:val="000325B9"/>
    <w:rsid w:val="00034DB8"/>
    <w:rsid w:val="00037371"/>
    <w:rsid w:val="000452FD"/>
    <w:rsid w:val="000459F2"/>
    <w:rsid w:val="000534B7"/>
    <w:rsid w:val="00062232"/>
    <w:rsid w:val="0006427B"/>
    <w:rsid w:val="00067413"/>
    <w:rsid w:val="000674C2"/>
    <w:rsid w:val="00097859"/>
    <w:rsid w:val="00097C3F"/>
    <w:rsid w:val="000A1460"/>
    <w:rsid w:val="000A469A"/>
    <w:rsid w:val="000A6EAF"/>
    <w:rsid w:val="000B2F49"/>
    <w:rsid w:val="000B7B76"/>
    <w:rsid w:val="000B7ECD"/>
    <w:rsid w:val="000C5E21"/>
    <w:rsid w:val="000E1C36"/>
    <w:rsid w:val="000E23CC"/>
    <w:rsid w:val="000F0710"/>
    <w:rsid w:val="000F4CA0"/>
    <w:rsid w:val="000F5347"/>
    <w:rsid w:val="00100B62"/>
    <w:rsid w:val="0010180C"/>
    <w:rsid w:val="00103D63"/>
    <w:rsid w:val="00103F19"/>
    <w:rsid w:val="00120EEA"/>
    <w:rsid w:val="00123481"/>
    <w:rsid w:val="0012375E"/>
    <w:rsid w:val="00124E7A"/>
    <w:rsid w:val="00125C46"/>
    <w:rsid w:val="00126F33"/>
    <w:rsid w:val="0013714C"/>
    <w:rsid w:val="00144E15"/>
    <w:rsid w:val="00157455"/>
    <w:rsid w:val="00157AB2"/>
    <w:rsid w:val="001604D9"/>
    <w:rsid w:val="00163E10"/>
    <w:rsid w:val="00163E32"/>
    <w:rsid w:val="001644CE"/>
    <w:rsid w:val="001705BC"/>
    <w:rsid w:val="001711A2"/>
    <w:rsid w:val="00171C82"/>
    <w:rsid w:val="00174B8B"/>
    <w:rsid w:val="00181330"/>
    <w:rsid w:val="001834E6"/>
    <w:rsid w:val="0018582B"/>
    <w:rsid w:val="001873B5"/>
    <w:rsid w:val="00187ACC"/>
    <w:rsid w:val="00190D59"/>
    <w:rsid w:val="00191332"/>
    <w:rsid w:val="001927B6"/>
    <w:rsid w:val="001940AC"/>
    <w:rsid w:val="00194378"/>
    <w:rsid w:val="001A2BDD"/>
    <w:rsid w:val="001A492F"/>
    <w:rsid w:val="001B12EB"/>
    <w:rsid w:val="001B24B1"/>
    <w:rsid w:val="001C06DE"/>
    <w:rsid w:val="001C1A68"/>
    <w:rsid w:val="001C4A7C"/>
    <w:rsid w:val="001D3CD5"/>
    <w:rsid w:val="001F34FD"/>
    <w:rsid w:val="001F5ECC"/>
    <w:rsid w:val="001F7B45"/>
    <w:rsid w:val="001F7E69"/>
    <w:rsid w:val="00201CD6"/>
    <w:rsid w:val="00202BC3"/>
    <w:rsid w:val="00212879"/>
    <w:rsid w:val="00215627"/>
    <w:rsid w:val="002217E0"/>
    <w:rsid w:val="00221B94"/>
    <w:rsid w:val="0022735C"/>
    <w:rsid w:val="00236540"/>
    <w:rsid w:val="002439E2"/>
    <w:rsid w:val="002515F7"/>
    <w:rsid w:val="002525D8"/>
    <w:rsid w:val="0025714D"/>
    <w:rsid w:val="00261F81"/>
    <w:rsid w:val="00266BBE"/>
    <w:rsid w:val="00267C48"/>
    <w:rsid w:val="0027056A"/>
    <w:rsid w:val="0027128A"/>
    <w:rsid w:val="0027511D"/>
    <w:rsid w:val="00280D7C"/>
    <w:rsid w:val="0028304D"/>
    <w:rsid w:val="002853B3"/>
    <w:rsid w:val="00285F0C"/>
    <w:rsid w:val="00295BD9"/>
    <w:rsid w:val="002A2617"/>
    <w:rsid w:val="002A6D6C"/>
    <w:rsid w:val="002B1651"/>
    <w:rsid w:val="002C0FA1"/>
    <w:rsid w:val="002C3320"/>
    <w:rsid w:val="002C4893"/>
    <w:rsid w:val="002C683A"/>
    <w:rsid w:val="002D05D0"/>
    <w:rsid w:val="002D1694"/>
    <w:rsid w:val="002D41CA"/>
    <w:rsid w:val="002D4C0F"/>
    <w:rsid w:val="002E0387"/>
    <w:rsid w:val="002E0BF1"/>
    <w:rsid w:val="002F4E97"/>
    <w:rsid w:val="00301155"/>
    <w:rsid w:val="00301947"/>
    <w:rsid w:val="00302590"/>
    <w:rsid w:val="003062B3"/>
    <w:rsid w:val="00307F23"/>
    <w:rsid w:val="00312413"/>
    <w:rsid w:val="00312434"/>
    <w:rsid w:val="0031250C"/>
    <w:rsid w:val="003317AF"/>
    <w:rsid w:val="00336A31"/>
    <w:rsid w:val="00344019"/>
    <w:rsid w:val="00363706"/>
    <w:rsid w:val="00370A8E"/>
    <w:rsid w:val="003911BB"/>
    <w:rsid w:val="003A066A"/>
    <w:rsid w:val="003A45AC"/>
    <w:rsid w:val="003A4CC1"/>
    <w:rsid w:val="003A6DBE"/>
    <w:rsid w:val="003B17F1"/>
    <w:rsid w:val="003B50DA"/>
    <w:rsid w:val="003B7A7E"/>
    <w:rsid w:val="003B7C75"/>
    <w:rsid w:val="003C25B2"/>
    <w:rsid w:val="003C394D"/>
    <w:rsid w:val="003C4893"/>
    <w:rsid w:val="003D0B40"/>
    <w:rsid w:val="003D2A4C"/>
    <w:rsid w:val="003D747F"/>
    <w:rsid w:val="003E1D21"/>
    <w:rsid w:val="003E3AE9"/>
    <w:rsid w:val="003F1E8E"/>
    <w:rsid w:val="003F3313"/>
    <w:rsid w:val="00402148"/>
    <w:rsid w:val="004033E5"/>
    <w:rsid w:val="00416D6B"/>
    <w:rsid w:val="00420797"/>
    <w:rsid w:val="004245E5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831EC"/>
    <w:rsid w:val="00490D5F"/>
    <w:rsid w:val="00497BB5"/>
    <w:rsid w:val="004A2D1C"/>
    <w:rsid w:val="004A459E"/>
    <w:rsid w:val="004A48F0"/>
    <w:rsid w:val="004A58BE"/>
    <w:rsid w:val="004B531F"/>
    <w:rsid w:val="004F2AB4"/>
    <w:rsid w:val="00506012"/>
    <w:rsid w:val="00520E64"/>
    <w:rsid w:val="0052522E"/>
    <w:rsid w:val="00533608"/>
    <w:rsid w:val="005360F8"/>
    <w:rsid w:val="005434E4"/>
    <w:rsid w:val="00560E7C"/>
    <w:rsid w:val="005711F0"/>
    <w:rsid w:val="005734C4"/>
    <w:rsid w:val="00573D44"/>
    <w:rsid w:val="005742C6"/>
    <w:rsid w:val="00590816"/>
    <w:rsid w:val="00590D14"/>
    <w:rsid w:val="005A06CD"/>
    <w:rsid w:val="005A3D3C"/>
    <w:rsid w:val="005A4E11"/>
    <w:rsid w:val="005A5E4D"/>
    <w:rsid w:val="005B7EB4"/>
    <w:rsid w:val="005B7F9D"/>
    <w:rsid w:val="005C4377"/>
    <w:rsid w:val="005D0562"/>
    <w:rsid w:val="005D24B9"/>
    <w:rsid w:val="005D3310"/>
    <w:rsid w:val="005D550F"/>
    <w:rsid w:val="005D6A9B"/>
    <w:rsid w:val="005D6C5C"/>
    <w:rsid w:val="005D7A9B"/>
    <w:rsid w:val="005E20D0"/>
    <w:rsid w:val="005E5251"/>
    <w:rsid w:val="005E6D50"/>
    <w:rsid w:val="005F689E"/>
    <w:rsid w:val="005F6D6C"/>
    <w:rsid w:val="0060249B"/>
    <w:rsid w:val="006131CC"/>
    <w:rsid w:val="00615BA0"/>
    <w:rsid w:val="00615D2B"/>
    <w:rsid w:val="00616142"/>
    <w:rsid w:val="006167BA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B5624"/>
    <w:rsid w:val="006C001B"/>
    <w:rsid w:val="006E709D"/>
    <w:rsid w:val="006E71C9"/>
    <w:rsid w:val="006F090B"/>
    <w:rsid w:val="006F1333"/>
    <w:rsid w:val="006F1923"/>
    <w:rsid w:val="006F7C65"/>
    <w:rsid w:val="00700020"/>
    <w:rsid w:val="00714E57"/>
    <w:rsid w:val="0072511C"/>
    <w:rsid w:val="00730E24"/>
    <w:rsid w:val="00732B00"/>
    <w:rsid w:val="007335AD"/>
    <w:rsid w:val="00735810"/>
    <w:rsid w:val="0073592C"/>
    <w:rsid w:val="00751D24"/>
    <w:rsid w:val="00753B57"/>
    <w:rsid w:val="0076278C"/>
    <w:rsid w:val="00763092"/>
    <w:rsid w:val="00763329"/>
    <w:rsid w:val="007647AE"/>
    <w:rsid w:val="00771543"/>
    <w:rsid w:val="00775086"/>
    <w:rsid w:val="00780958"/>
    <w:rsid w:val="00782BA0"/>
    <w:rsid w:val="00790887"/>
    <w:rsid w:val="00792927"/>
    <w:rsid w:val="007941A7"/>
    <w:rsid w:val="007A2224"/>
    <w:rsid w:val="007A3D0E"/>
    <w:rsid w:val="007B23B8"/>
    <w:rsid w:val="007C3668"/>
    <w:rsid w:val="007C727F"/>
    <w:rsid w:val="007D1401"/>
    <w:rsid w:val="007D1CB6"/>
    <w:rsid w:val="007D2A16"/>
    <w:rsid w:val="007D5C18"/>
    <w:rsid w:val="007E3FD4"/>
    <w:rsid w:val="007E6A35"/>
    <w:rsid w:val="007F0236"/>
    <w:rsid w:val="007F0B4F"/>
    <w:rsid w:val="007F6EDB"/>
    <w:rsid w:val="007F7E8F"/>
    <w:rsid w:val="00802A0B"/>
    <w:rsid w:val="00807144"/>
    <w:rsid w:val="00811AAE"/>
    <w:rsid w:val="008127CA"/>
    <w:rsid w:val="008204A6"/>
    <w:rsid w:val="008233DC"/>
    <w:rsid w:val="00824213"/>
    <w:rsid w:val="00824CE5"/>
    <w:rsid w:val="00825E7C"/>
    <w:rsid w:val="00827FEE"/>
    <w:rsid w:val="008309A4"/>
    <w:rsid w:val="00841BF7"/>
    <w:rsid w:val="00844C5D"/>
    <w:rsid w:val="00846654"/>
    <w:rsid w:val="008472AA"/>
    <w:rsid w:val="00857674"/>
    <w:rsid w:val="008610EC"/>
    <w:rsid w:val="00861FB7"/>
    <w:rsid w:val="0086530E"/>
    <w:rsid w:val="008673BB"/>
    <w:rsid w:val="0087234F"/>
    <w:rsid w:val="00874CBF"/>
    <w:rsid w:val="008776B5"/>
    <w:rsid w:val="008A276D"/>
    <w:rsid w:val="008B06F5"/>
    <w:rsid w:val="008B75B8"/>
    <w:rsid w:val="008C1878"/>
    <w:rsid w:val="008C5465"/>
    <w:rsid w:val="008C7E85"/>
    <w:rsid w:val="008D079A"/>
    <w:rsid w:val="008D253E"/>
    <w:rsid w:val="008D26BE"/>
    <w:rsid w:val="008D3B29"/>
    <w:rsid w:val="008E04B7"/>
    <w:rsid w:val="008E2F87"/>
    <w:rsid w:val="008E32DD"/>
    <w:rsid w:val="008F0D5A"/>
    <w:rsid w:val="008F6098"/>
    <w:rsid w:val="00907C92"/>
    <w:rsid w:val="00911575"/>
    <w:rsid w:val="0091426C"/>
    <w:rsid w:val="00926F4B"/>
    <w:rsid w:val="0093173B"/>
    <w:rsid w:val="00940940"/>
    <w:rsid w:val="0094240E"/>
    <w:rsid w:val="0094449D"/>
    <w:rsid w:val="00944BD8"/>
    <w:rsid w:val="0095238A"/>
    <w:rsid w:val="00961D45"/>
    <w:rsid w:val="009627AC"/>
    <w:rsid w:val="00966836"/>
    <w:rsid w:val="0096768B"/>
    <w:rsid w:val="0097091E"/>
    <w:rsid w:val="0097202A"/>
    <w:rsid w:val="00976AFA"/>
    <w:rsid w:val="00977EE4"/>
    <w:rsid w:val="00980B8A"/>
    <w:rsid w:val="009829E3"/>
    <w:rsid w:val="0098313C"/>
    <w:rsid w:val="00984A1A"/>
    <w:rsid w:val="009866CA"/>
    <w:rsid w:val="00986EBD"/>
    <w:rsid w:val="009945D9"/>
    <w:rsid w:val="009A375E"/>
    <w:rsid w:val="009A5785"/>
    <w:rsid w:val="009B0BFE"/>
    <w:rsid w:val="009B4246"/>
    <w:rsid w:val="009C0A40"/>
    <w:rsid w:val="009C275F"/>
    <w:rsid w:val="009C2BC9"/>
    <w:rsid w:val="009C538E"/>
    <w:rsid w:val="009D4169"/>
    <w:rsid w:val="009D798B"/>
    <w:rsid w:val="009F110B"/>
    <w:rsid w:val="009F6C5D"/>
    <w:rsid w:val="00A00FFE"/>
    <w:rsid w:val="00A02650"/>
    <w:rsid w:val="00A05ED1"/>
    <w:rsid w:val="00A12A8F"/>
    <w:rsid w:val="00A141AA"/>
    <w:rsid w:val="00A208E6"/>
    <w:rsid w:val="00A24ECE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862FD"/>
    <w:rsid w:val="00A933BE"/>
    <w:rsid w:val="00AA4CF9"/>
    <w:rsid w:val="00AA6A4E"/>
    <w:rsid w:val="00AB2479"/>
    <w:rsid w:val="00AB24EE"/>
    <w:rsid w:val="00AB5E0A"/>
    <w:rsid w:val="00AB63E9"/>
    <w:rsid w:val="00AC630B"/>
    <w:rsid w:val="00AD54D1"/>
    <w:rsid w:val="00AD6AC5"/>
    <w:rsid w:val="00AF4564"/>
    <w:rsid w:val="00B0069A"/>
    <w:rsid w:val="00B00DEF"/>
    <w:rsid w:val="00B049D0"/>
    <w:rsid w:val="00B055A6"/>
    <w:rsid w:val="00B07385"/>
    <w:rsid w:val="00B10EFB"/>
    <w:rsid w:val="00B122A8"/>
    <w:rsid w:val="00B13BB5"/>
    <w:rsid w:val="00B20024"/>
    <w:rsid w:val="00B20138"/>
    <w:rsid w:val="00B21B4A"/>
    <w:rsid w:val="00B3261C"/>
    <w:rsid w:val="00B32B39"/>
    <w:rsid w:val="00B513A1"/>
    <w:rsid w:val="00B6054C"/>
    <w:rsid w:val="00B71DA3"/>
    <w:rsid w:val="00B81D08"/>
    <w:rsid w:val="00B839AA"/>
    <w:rsid w:val="00B8665A"/>
    <w:rsid w:val="00B87E86"/>
    <w:rsid w:val="00B92DAB"/>
    <w:rsid w:val="00B95E9A"/>
    <w:rsid w:val="00B97ABA"/>
    <w:rsid w:val="00BA048F"/>
    <w:rsid w:val="00BA4D71"/>
    <w:rsid w:val="00BA65A3"/>
    <w:rsid w:val="00BA683B"/>
    <w:rsid w:val="00BA6887"/>
    <w:rsid w:val="00BA6F5C"/>
    <w:rsid w:val="00BB02A4"/>
    <w:rsid w:val="00BB2C99"/>
    <w:rsid w:val="00BB2F8F"/>
    <w:rsid w:val="00BB3977"/>
    <w:rsid w:val="00BB3C87"/>
    <w:rsid w:val="00BB628D"/>
    <w:rsid w:val="00BB6780"/>
    <w:rsid w:val="00BC1214"/>
    <w:rsid w:val="00BC2CA3"/>
    <w:rsid w:val="00BC3DF1"/>
    <w:rsid w:val="00BC4846"/>
    <w:rsid w:val="00BD01B0"/>
    <w:rsid w:val="00BD45B1"/>
    <w:rsid w:val="00BD47C8"/>
    <w:rsid w:val="00BD4A06"/>
    <w:rsid w:val="00BD78BA"/>
    <w:rsid w:val="00BE106D"/>
    <w:rsid w:val="00C036CD"/>
    <w:rsid w:val="00C0489B"/>
    <w:rsid w:val="00C04EDD"/>
    <w:rsid w:val="00C127F2"/>
    <w:rsid w:val="00C16984"/>
    <w:rsid w:val="00C20B4C"/>
    <w:rsid w:val="00C271AB"/>
    <w:rsid w:val="00C409FB"/>
    <w:rsid w:val="00C53FFC"/>
    <w:rsid w:val="00C60F09"/>
    <w:rsid w:val="00C62358"/>
    <w:rsid w:val="00C63FD7"/>
    <w:rsid w:val="00C72ABE"/>
    <w:rsid w:val="00C77BE2"/>
    <w:rsid w:val="00C80A98"/>
    <w:rsid w:val="00C86A02"/>
    <w:rsid w:val="00C913DE"/>
    <w:rsid w:val="00C97961"/>
    <w:rsid w:val="00CA05CA"/>
    <w:rsid w:val="00CA3F01"/>
    <w:rsid w:val="00CA5008"/>
    <w:rsid w:val="00CA51CF"/>
    <w:rsid w:val="00CA644E"/>
    <w:rsid w:val="00CC030D"/>
    <w:rsid w:val="00CC0E8F"/>
    <w:rsid w:val="00CC17C0"/>
    <w:rsid w:val="00CC2BC8"/>
    <w:rsid w:val="00CC45CA"/>
    <w:rsid w:val="00CD2252"/>
    <w:rsid w:val="00CD5438"/>
    <w:rsid w:val="00CE2048"/>
    <w:rsid w:val="00CE2C1C"/>
    <w:rsid w:val="00CE2E30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1B5"/>
    <w:rsid w:val="00D47317"/>
    <w:rsid w:val="00D50975"/>
    <w:rsid w:val="00D62852"/>
    <w:rsid w:val="00D63BBE"/>
    <w:rsid w:val="00D63CA9"/>
    <w:rsid w:val="00D65742"/>
    <w:rsid w:val="00D66C99"/>
    <w:rsid w:val="00D70DD2"/>
    <w:rsid w:val="00D731F1"/>
    <w:rsid w:val="00D740C8"/>
    <w:rsid w:val="00D74E04"/>
    <w:rsid w:val="00D81C04"/>
    <w:rsid w:val="00D83BB3"/>
    <w:rsid w:val="00D843C3"/>
    <w:rsid w:val="00D85744"/>
    <w:rsid w:val="00D90DA0"/>
    <w:rsid w:val="00D93F77"/>
    <w:rsid w:val="00D9423B"/>
    <w:rsid w:val="00D944D5"/>
    <w:rsid w:val="00DB1811"/>
    <w:rsid w:val="00DB470F"/>
    <w:rsid w:val="00DB5965"/>
    <w:rsid w:val="00DB5A8D"/>
    <w:rsid w:val="00DC569E"/>
    <w:rsid w:val="00DC5F98"/>
    <w:rsid w:val="00DD1716"/>
    <w:rsid w:val="00DD3CDD"/>
    <w:rsid w:val="00DD4829"/>
    <w:rsid w:val="00DE1084"/>
    <w:rsid w:val="00DF1133"/>
    <w:rsid w:val="00DF6EC1"/>
    <w:rsid w:val="00E00AD3"/>
    <w:rsid w:val="00E01791"/>
    <w:rsid w:val="00E0327C"/>
    <w:rsid w:val="00E0439F"/>
    <w:rsid w:val="00E04EE8"/>
    <w:rsid w:val="00E120B7"/>
    <w:rsid w:val="00E14C2B"/>
    <w:rsid w:val="00E15489"/>
    <w:rsid w:val="00E1594F"/>
    <w:rsid w:val="00E16A5E"/>
    <w:rsid w:val="00E20B25"/>
    <w:rsid w:val="00E34244"/>
    <w:rsid w:val="00E363D5"/>
    <w:rsid w:val="00E40336"/>
    <w:rsid w:val="00E4141E"/>
    <w:rsid w:val="00E43985"/>
    <w:rsid w:val="00E47266"/>
    <w:rsid w:val="00E5542C"/>
    <w:rsid w:val="00E5761F"/>
    <w:rsid w:val="00E63944"/>
    <w:rsid w:val="00E67277"/>
    <w:rsid w:val="00E7181C"/>
    <w:rsid w:val="00E844C3"/>
    <w:rsid w:val="00E864C1"/>
    <w:rsid w:val="00E87FB7"/>
    <w:rsid w:val="00E90A3B"/>
    <w:rsid w:val="00E91320"/>
    <w:rsid w:val="00E9526E"/>
    <w:rsid w:val="00E960A7"/>
    <w:rsid w:val="00E9702C"/>
    <w:rsid w:val="00EB0287"/>
    <w:rsid w:val="00EB1066"/>
    <w:rsid w:val="00EB5C06"/>
    <w:rsid w:val="00EB7449"/>
    <w:rsid w:val="00EC0A6A"/>
    <w:rsid w:val="00ED16D1"/>
    <w:rsid w:val="00ED3570"/>
    <w:rsid w:val="00ED53A9"/>
    <w:rsid w:val="00ED5412"/>
    <w:rsid w:val="00ED62C6"/>
    <w:rsid w:val="00EE0058"/>
    <w:rsid w:val="00EE0EC0"/>
    <w:rsid w:val="00EE6275"/>
    <w:rsid w:val="00EF30BE"/>
    <w:rsid w:val="00EF5CB8"/>
    <w:rsid w:val="00EF656F"/>
    <w:rsid w:val="00F0599E"/>
    <w:rsid w:val="00F05EB0"/>
    <w:rsid w:val="00F06716"/>
    <w:rsid w:val="00F06963"/>
    <w:rsid w:val="00F0712E"/>
    <w:rsid w:val="00F11937"/>
    <w:rsid w:val="00F1216E"/>
    <w:rsid w:val="00F20CEA"/>
    <w:rsid w:val="00F20EAF"/>
    <w:rsid w:val="00F2181F"/>
    <w:rsid w:val="00F26881"/>
    <w:rsid w:val="00F333E3"/>
    <w:rsid w:val="00F355C0"/>
    <w:rsid w:val="00F37145"/>
    <w:rsid w:val="00F37DFB"/>
    <w:rsid w:val="00F424A0"/>
    <w:rsid w:val="00F47F4C"/>
    <w:rsid w:val="00F512C6"/>
    <w:rsid w:val="00F51744"/>
    <w:rsid w:val="00F60C2E"/>
    <w:rsid w:val="00F618EB"/>
    <w:rsid w:val="00F626F0"/>
    <w:rsid w:val="00F67544"/>
    <w:rsid w:val="00F67A80"/>
    <w:rsid w:val="00F67EC0"/>
    <w:rsid w:val="00F739E0"/>
    <w:rsid w:val="00F73B5D"/>
    <w:rsid w:val="00F82B5A"/>
    <w:rsid w:val="00F84990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3ED6"/>
    <w:rsid w:val="00FB1390"/>
    <w:rsid w:val="00FB70A6"/>
    <w:rsid w:val="00FB76BA"/>
    <w:rsid w:val="00FC11A4"/>
    <w:rsid w:val="00FD3B11"/>
    <w:rsid w:val="00FE4926"/>
    <w:rsid w:val="00FE6C36"/>
    <w:rsid w:val="00FF4E1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73158-49B3-4363-B7C3-6EA73DD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44D5"/>
  </w:style>
  <w:style w:type="paragraph" w:styleId="a5">
    <w:name w:val="Balloon Text"/>
    <w:basedOn w:val="a"/>
    <w:link w:val="a6"/>
    <w:uiPriority w:val="99"/>
    <w:semiHidden/>
    <w:unhideWhenUsed/>
    <w:rsid w:val="00D9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B4C"/>
  </w:style>
  <w:style w:type="paragraph" w:customStyle="1" w:styleId="ConsPlusTitle">
    <w:name w:val="ConsPlusTitle"/>
    <w:rsid w:val="00C6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A862FD"/>
    <w:pPr>
      <w:spacing w:after="0" w:line="240" w:lineRule="auto"/>
    </w:pPr>
  </w:style>
  <w:style w:type="table" w:styleId="aa">
    <w:name w:val="Table Grid"/>
    <w:basedOn w:val="a1"/>
    <w:uiPriority w:val="59"/>
    <w:rsid w:val="00A8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5F51-0880-462D-81DD-E62D5C2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Николаевна Нохрина</cp:lastModifiedBy>
  <cp:revision>2</cp:revision>
  <cp:lastPrinted>2021-02-26T03:32:00Z</cp:lastPrinted>
  <dcterms:created xsi:type="dcterms:W3CDTF">2021-03-04T06:43:00Z</dcterms:created>
  <dcterms:modified xsi:type="dcterms:W3CDTF">2021-03-04T06:43:00Z</dcterms:modified>
</cp:coreProperties>
</file>