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830"/>
        <w:gridCol w:w="3828"/>
      </w:tblGrid>
      <w:tr w:rsidR="00ED156A" w:rsidRPr="002E4551" w:rsidTr="00360FBA">
        <w:tc>
          <w:tcPr>
            <w:tcW w:w="3266" w:type="dxa"/>
          </w:tcPr>
          <w:p w:rsidR="00ED156A" w:rsidRPr="002E4551" w:rsidRDefault="00ED156A" w:rsidP="007D0D1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0" w:type="dxa"/>
          </w:tcPr>
          <w:p w:rsidR="00ED156A" w:rsidRPr="002E4551" w:rsidRDefault="00ED156A" w:rsidP="007D0D1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ED156A" w:rsidRPr="002E4551" w:rsidRDefault="00C87D61" w:rsidP="007D0D14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Приложение № 4</w:t>
            </w:r>
          </w:p>
          <w:p w:rsidR="00ED156A" w:rsidRPr="002E4551" w:rsidRDefault="00ED156A" w:rsidP="00360FB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C75E22" w:rsidP="00C75E2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</w:t>
      </w:r>
      <w:r w:rsidR="001843F3" w:rsidRPr="002E4551">
        <w:rPr>
          <w:rFonts w:ascii="Liberation Serif" w:hAnsi="Liberation Serif" w:cs="Liberation Serif"/>
          <w:sz w:val="24"/>
          <w:szCs w:val="24"/>
        </w:rPr>
        <w:t xml:space="preserve"> УТВЕРЖДАЮ</w:t>
      </w:r>
    </w:p>
    <w:p w:rsidR="001843F3" w:rsidRPr="002E4551" w:rsidRDefault="001843F3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ED156A" w:rsidRPr="002E4551">
        <w:rPr>
          <w:rFonts w:ascii="Liberation Serif" w:hAnsi="Liberation Serif" w:cs="Liberation Serif"/>
          <w:sz w:val="24"/>
          <w:szCs w:val="24"/>
        </w:rPr>
        <w:t xml:space="preserve">                           Глава Артемовского городского округа </w:t>
      </w:r>
    </w:p>
    <w:p w:rsidR="00FC11F3" w:rsidRPr="002E4551" w:rsidRDefault="001843F3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</w:t>
      </w:r>
      <w:r w:rsidR="00FC11F3" w:rsidRPr="002E4551">
        <w:rPr>
          <w:rFonts w:ascii="Liberation Serif" w:hAnsi="Liberation Serif" w:cs="Liberation Serif"/>
          <w:sz w:val="24"/>
          <w:szCs w:val="24"/>
        </w:rPr>
        <w:t>_____________</w:t>
      </w:r>
      <w:r w:rsidR="002E4551">
        <w:rPr>
          <w:rFonts w:ascii="Liberation Serif" w:hAnsi="Liberation Serif" w:cs="Liberation Serif"/>
          <w:sz w:val="24"/>
          <w:szCs w:val="24"/>
        </w:rPr>
        <w:t xml:space="preserve">__________ ФИО </w:t>
      </w:r>
      <w:r w:rsidR="00ED156A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="00FC11F3" w:rsidRPr="002E455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156A" w:rsidRPr="002E4551" w:rsidRDefault="00ED156A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«____» __________________ 20__ года</w:t>
      </w:r>
    </w:p>
    <w:p w:rsidR="00ED156A" w:rsidRPr="002E4551" w:rsidRDefault="00ED156A" w:rsidP="00ED15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М.П.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509"/>
      <w:bookmarkEnd w:id="1"/>
      <w:r w:rsidRPr="002E4551">
        <w:rPr>
          <w:rFonts w:ascii="Liberation Serif" w:hAnsi="Liberation Serif" w:cs="Liberation Serif"/>
          <w:sz w:val="24"/>
          <w:szCs w:val="24"/>
        </w:rPr>
        <w:t>ЗАКЛЮЧЕНИЕ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об установлении факта проживания в жилом помещении, находящемся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зоне чрезвычайной ситуации, и факта нарушения условий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жизнедеятельности заявителя в результате чрезвычайной ситуации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(реквизиты нормативного правового акта Свердловской области</w:t>
      </w:r>
      <w:r w:rsidR="00ED156A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об отнесении сложившейся ситуации к чрезвычайной)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Комиссия, действующая на основании 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</w:t>
      </w:r>
      <w:r w:rsidRPr="002E4551">
        <w:rPr>
          <w:rFonts w:ascii="Liberation Serif" w:hAnsi="Liberation Serif" w:cs="Liberation Serif"/>
          <w:sz w:val="24"/>
          <w:szCs w:val="24"/>
        </w:rPr>
        <w:t>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составе: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председатель комиссии: 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</w:t>
      </w:r>
      <w:r w:rsidRPr="002E4551">
        <w:rPr>
          <w:rFonts w:ascii="Liberation Serif" w:hAnsi="Liberation Serif" w:cs="Liberation Serif"/>
          <w:sz w:val="24"/>
          <w:szCs w:val="24"/>
        </w:rPr>
        <w:t>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члены комиссии: 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</w:t>
      </w:r>
      <w:r w:rsidRPr="002E4551">
        <w:rPr>
          <w:rFonts w:ascii="Liberation Serif" w:hAnsi="Liberation Serif" w:cs="Liberation Serif"/>
          <w:sz w:val="24"/>
          <w:szCs w:val="24"/>
        </w:rPr>
        <w:t>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____________</w:t>
      </w:r>
      <w:r w:rsidRPr="002E4551">
        <w:rPr>
          <w:rFonts w:ascii="Liberation Serif" w:hAnsi="Liberation Serif" w:cs="Liberation Serif"/>
          <w:sz w:val="24"/>
          <w:szCs w:val="24"/>
        </w:rPr>
        <w:t>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_____________</w:t>
      </w:r>
      <w:r w:rsidRPr="002E4551">
        <w:rPr>
          <w:rFonts w:ascii="Liberation Serif" w:hAnsi="Liberation Serif" w:cs="Liberation Serif"/>
          <w:sz w:val="24"/>
          <w:szCs w:val="24"/>
        </w:rPr>
        <w:t>__________,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провела 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_________</w:t>
      </w:r>
      <w:r w:rsidRPr="002E4551">
        <w:rPr>
          <w:rFonts w:ascii="Liberation Serif" w:hAnsi="Liberation Serif" w:cs="Liberation Serif"/>
          <w:sz w:val="24"/>
          <w:szCs w:val="24"/>
        </w:rPr>
        <w:t>______ обследование условий жизнедеятельности заявителя: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(дата)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Ф.И.О. заявителя: ____________________________________________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адрес места жительства: 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</w:t>
      </w:r>
      <w:r w:rsidRPr="002E4551">
        <w:rPr>
          <w:rFonts w:ascii="Liberation Serif" w:hAnsi="Liberation Serif" w:cs="Liberation Serif"/>
          <w:sz w:val="24"/>
          <w:szCs w:val="24"/>
        </w:rPr>
        <w:t>________________________.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Факт проживания в жилом помещении 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</w:t>
      </w:r>
      <w:r w:rsidRPr="002E4551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</w:t>
      </w:r>
    </w:p>
    <w:p w:rsidR="001843F3" w:rsidRPr="002E4551" w:rsidRDefault="001843F3" w:rsidP="00360FBA">
      <w:pPr>
        <w:pStyle w:val="ConsPlusNonformat"/>
        <w:spacing w:before="240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установлен/не              установлен              на             основании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__________</w:t>
      </w:r>
      <w:r w:rsidRPr="002E4551">
        <w:rPr>
          <w:rFonts w:ascii="Liberation Serif" w:hAnsi="Liberation Serif" w:cs="Liberation Serif"/>
          <w:sz w:val="24"/>
          <w:szCs w:val="24"/>
        </w:rPr>
        <w:t>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(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нужное подчеркнуть)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(указать, если факт проживания установлен)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Дата начала нарушения условий жизнедеятельности: _________________________.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Характер нарушения условий жизнедеятельности</w:t>
      </w: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973"/>
        <w:gridCol w:w="2768"/>
      </w:tblGrid>
      <w:tr w:rsidR="001843F3" w:rsidRPr="002E4551" w:rsidTr="00360FBA">
        <w:tc>
          <w:tcPr>
            <w:tcW w:w="2756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973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2768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Состояние</w:t>
            </w:r>
          </w:p>
        </w:tc>
      </w:tr>
      <w:tr w:rsidR="001843F3" w:rsidRPr="002E4551" w:rsidTr="00360FBA">
        <w:tc>
          <w:tcPr>
            <w:tcW w:w="2756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843F3" w:rsidRPr="002E4551" w:rsidTr="00360FBA">
        <w:tc>
          <w:tcPr>
            <w:tcW w:w="2756" w:type="dxa"/>
            <w:vMerge w:val="restart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Невозможность проживания заявителя в жилом помещении</w:t>
            </w:r>
          </w:p>
        </w:tc>
        <w:tc>
          <w:tcPr>
            <w:tcW w:w="3973" w:type="dxa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2768" w:type="dxa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фундамент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(частично разрушен)/</w:t>
            </w:r>
          </w:p>
          <w:p w:rsidR="00D84A4A" w:rsidRPr="002E4551" w:rsidRDefault="00D84A4A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стены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перегородки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перекрытия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полы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крыша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повреждена (частично разрушена)/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повреждена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окна и двери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отделочные работы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печное отопление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повреждено (частично разрушено)/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электроосвещение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повреждено (частично разрушено)/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повреждено</w:t>
            </w:r>
          </w:p>
        </w:tc>
      </w:tr>
      <w:tr w:rsidR="001843F3" w:rsidRPr="002E4551" w:rsidTr="004D2EC4">
        <w:trPr>
          <w:trHeight w:val="437"/>
        </w:trPr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4D2EC4">
        <w:trPr>
          <w:trHeight w:val="391"/>
        </w:trPr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возможно/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</w:t>
            </w:r>
          </w:p>
        </w:tc>
      </w:tr>
      <w:tr w:rsidR="001843F3" w:rsidRPr="002E4551" w:rsidTr="00360FBA">
        <w:tc>
          <w:tcPr>
            <w:tcW w:w="2756" w:type="dxa"/>
            <w:vMerge w:val="restart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 xml:space="preserve">Невозможность осуществления транспортного сообщения между территорией проживания заявителя и иными </w:t>
            </w: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территориями, где условия жизнедеятельности не были нарушены</w:t>
            </w: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доступно/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недоступно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 xml:space="preserve">2) функционирование общественного транспорта от </w:t>
            </w: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ближайшего к заявителю остановочного пункта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</w:t>
            </w:r>
          </w:p>
        </w:tc>
      </w:tr>
      <w:tr w:rsidR="001843F3" w:rsidRPr="002E4551" w:rsidTr="00360FBA">
        <w:tc>
          <w:tcPr>
            <w:tcW w:w="2756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Нарушение санитарно-эпидемиологического благополучия заявителя</w:t>
            </w: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</w:tbl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Факт  нарушения  условий  жизнедеятельности  при  чрезвычайной ситуации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устанавливается  по  состоянию  хотя  бы  одного  из  показателей указанных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критериев,  характеризующему  невозможность  проживания  заявителя  в жилом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помещении.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Факт нарушения условий жизнедеятельности 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(Ф.И.О. заявителя)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результате чрезвычайной ситуации установлен/не установлен.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(нужное подчеркнуть)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(подпись)     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Члены комиссии: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(подпись)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  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С заключением комиссии ознакомлен: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заявитель      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(подпись, фамилия, инициалы гражданина)</w:t>
      </w: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75E22" w:rsidRPr="002E4551" w:rsidRDefault="00C75E2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C75E22" w:rsidRPr="002E4551" w:rsidSect="00360FBA">
      <w:pgSz w:w="11906" w:h="16839"/>
      <w:pgMar w:top="1701" w:right="566" w:bottom="624" w:left="1560" w:header="0" w:footer="0" w:gutter="0"/>
      <w:paperSrc w:first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22" w:rsidRDefault="00586E22" w:rsidP="00EC5F4B">
      <w:r>
        <w:separator/>
      </w:r>
    </w:p>
  </w:endnote>
  <w:endnote w:type="continuationSeparator" w:id="0">
    <w:p w:rsidR="00586E22" w:rsidRDefault="00586E22" w:rsidP="00E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22" w:rsidRDefault="00586E22" w:rsidP="00EC5F4B">
      <w:r>
        <w:separator/>
      </w:r>
    </w:p>
  </w:footnote>
  <w:footnote w:type="continuationSeparator" w:id="0">
    <w:p w:rsidR="00586E22" w:rsidRDefault="00586E22" w:rsidP="00EC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1843F3"/>
    <w:rsid w:val="0024497B"/>
    <w:rsid w:val="002E4551"/>
    <w:rsid w:val="00360FBA"/>
    <w:rsid w:val="003A064A"/>
    <w:rsid w:val="0047743B"/>
    <w:rsid w:val="004D2EC4"/>
    <w:rsid w:val="00586E22"/>
    <w:rsid w:val="00666574"/>
    <w:rsid w:val="00727ECF"/>
    <w:rsid w:val="00735043"/>
    <w:rsid w:val="0078694F"/>
    <w:rsid w:val="007D0D14"/>
    <w:rsid w:val="008247DF"/>
    <w:rsid w:val="008E416E"/>
    <w:rsid w:val="00924C2C"/>
    <w:rsid w:val="00987BDF"/>
    <w:rsid w:val="00A60CFC"/>
    <w:rsid w:val="00A678D4"/>
    <w:rsid w:val="00A91552"/>
    <w:rsid w:val="00B025A2"/>
    <w:rsid w:val="00B94698"/>
    <w:rsid w:val="00C75E22"/>
    <w:rsid w:val="00C87D61"/>
    <w:rsid w:val="00D168DE"/>
    <w:rsid w:val="00D73724"/>
    <w:rsid w:val="00D84A4A"/>
    <w:rsid w:val="00E00A25"/>
    <w:rsid w:val="00EC5F4B"/>
    <w:rsid w:val="00ED156A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85A8-8AEF-4C49-A456-5BD3F1E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74"/>
    <w:pPr>
      <w:ind w:left="720"/>
      <w:contextualSpacing/>
    </w:pPr>
  </w:style>
  <w:style w:type="paragraph" w:customStyle="1" w:styleId="ConsPlusNormal">
    <w:name w:val="ConsPlusNormal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43F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43F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43F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43F3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43F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5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F4B"/>
  </w:style>
  <w:style w:type="paragraph" w:styleId="a6">
    <w:name w:val="footer"/>
    <w:basedOn w:val="a"/>
    <w:link w:val="a7"/>
    <w:uiPriority w:val="99"/>
    <w:unhideWhenUsed/>
    <w:rsid w:val="00EC5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F4B"/>
  </w:style>
  <w:style w:type="table" w:styleId="a8">
    <w:name w:val="Table Grid"/>
    <w:basedOn w:val="a1"/>
    <w:uiPriority w:val="39"/>
    <w:rsid w:val="00EC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F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2023-03-30T08:36:00Z</cp:lastPrinted>
  <dcterms:created xsi:type="dcterms:W3CDTF">2023-03-03T09:57:00Z</dcterms:created>
  <dcterms:modified xsi:type="dcterms:W3CDTF">2023-03-30T08:36:00Z</dcterms:modified>
</cp:coreProperties>
</file>