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F" w:rsidRPr="00B21A32" w:rsidRDefault="00EB14F0" w:rsidP="00C0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6214D7" w:rsidRPr="00B21A32">
        <w:rPr>
          <w:rFonts w:ascii="Times New Roman" w:hAnsi="Times New Roman" w:cs="Times New Roman"/>
          <w:sz w:val="24"/>
          <w:szCs w:val="24"/>
        </w:rPr>
        <w:t>эффективности</w:t>
      </w:r>
      <w:r w:rsidRPr="00B21A32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6214D7" w:rsidRPr="00B21A3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C722C" w:rsidRPr="00B21A32">
        <w:rPr>
          <w:rFonts w:ascii="Times New Roman" w:hAnsi="Times New Roman" w:cs="Times New Roman"/>
          <w:sz w:val="24"/>
          <w:szCs w:val="24"/>
        </w:rPr>
        <w:t>ой</w:t>
      </w:r>
      <w:r w:rsidR="006214D7" w:rsidRPr="00B21A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C722C" w:rsidRPr="00B21A32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C078FF" w:rsidRPr="00B21A32" w:rsidRDefault="00CC722C" w:rsidP="00C0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«</w:t>
      </w:r>
      <w:r w:rsidR="00C078FF" w:rsidRPr="00B21A32">
        <w:rPr>
          <w:rFonts w:ascii="Times New Roman" w:hAnsi="Times New Roman" w:cs="Times New Roman"/>
          <w:sz w:val="24"/>
          <w:szCs w:val="24"/>
        </w:rPr>
        <w:t>Реализация регионального компонента приоритетных национальных проектов</w:t>
      </w:r>
    </w:p>
    <w:p w:rsidR="00C078FF" w:rsidRPr="00B21A32" w:rsidRDefault="00C078FF" w:rsidP="00C0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 в Артемовском городском округе </w:t>
      </w:r>
    </w:p>
    <w:p w:rsidR="006214D7" w:rsidRPr="00B21A32" w:rsidRDefault="00C078FF" w:rsidP="00CC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на 2012-2014 годы</w:t>
      </w:r>
      <w:r w:rsidR="00CC722C" w:rsidRPr="00B21A32">
        <w:rPr>
          <w:rFonts w:ascii="Times New Roman" w:hAnsi="Times New Roman" w:cs="Times New Roman"/>
          <w:sz w:val="24"/>
          <w:szCs w:val="24"/>
        </w:rPr>
        <w:t>»</w:t>
      </w:r>
      <w:r w:rsidR="00EB14F0" w:rsidRPr="00B21A32">
        <w:rPr>
          <w:rFonts w:ascii="Times New Roman" w:hAnsi="Times New Roman" w:cs="Times New Roman"/>
          <w:sz w:val="24"/>
          <w:szCs w:val="24"/>
        </w:rPr>
        <w:t xml:space="preserve"> за 2014 год</w:t>
      </w:r>
    </w:p>
    <w:p w:rsidR="00B21A32" w:rsidRPr="00B21A32" w:rsidRDefault="00B21A32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32D" w:rsidRDefault="00A6132D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На основании отчета о реализации мероприятий муниципальной программы «</w:t>
      </w:r>
      <w:r w:rsidR="00C078FF" w:rsidRPr="00B21A32">
        <w:rPr>
          <w:rFonts w:ascii="Times New Roman" w:hAnsi="Times New Roman" w:cs="Times New Roman"/>
          <w:sz w:val="24"/>
          <w:szCs w:val="24"/>
        </w:rPr>
        <w:t>Реализация регионального компонента приоритетных национальных проектов в сфере физической культуры и спорта в Артемовском городском округе на 2012-2014 годы</w:t>
      </w:r>
      <w:r w:rsidRPr="00B21A32">
        <w:rPr>
          <w:rFonts w:ascii="Times New Roman" w:hAnsi="Times New Roman" w:cs="Times New Roman"/>
          <w:sz w:val="24"/>
          <w:szCs w:val="24"/>
        </w:rPr>
        <w:t>»</w:t>
      </w:r>
      <w:r w:rsidR="00EB14F0" w:rsidRPr="00B21A32">
        <w:rPr>
          <w:rFonts w:ascii="Times New Roman" w:hAnsi="Times New Roman" w:cs="Times New Roman"/>
          <w:sz w:val="24"/>
          <w:szCs w:val="24"/>
        </w:rPr>
        <w:t xml:space="preserve"> за 2014 год</w:t>
      </w:r>
      <w:r w:rsidRPr="00B21A32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реализации муниципальной программы.</w:t>
      </w:r>
    </w:p>
    <w:p w:rsidR="00954427" w:rsidRPr="00B21A32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программы:</w:t>
      </w:r>
    </w:p>
    <w:p w:rsidR="00954427" w:rsidRPr="00B21A32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- проведены физкультурно-оздоровительные и спортивно-массовые мероприятия по календарям мероприятий МУ ФОЦ «Сигнал», МБУ «Лыжная база «Снежинка», Комитета по физической культуре и спорту Администрации Артемовского городского округа;</w:t>
      </w:r>
    </w:p>
    <w:p w:rsidR="00954427" w:rsidRPr="00B21A32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- проведено обеспечение спортивным инвентарем и оборудованием МУ ФОЦ «Сигнал», МБУ «Лыжная база «Снежинка»;</w:t>
      </w:r>
    </w:p>
    <w:p w:rsidR="00954427" w:rsidRPr="00B21A32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- обеспечено проведение физкультурно-оздоровительных и спортивно-массовых мероприятий среди инвалидов;</w:t>
      </w:r>
    </w:p>
    <w:p w:rsidR="00954427" w:rsidRPr="00B21A32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- проведена государственная экспертиза проекта «Реконструкция лыжной базы «Снежинка»;</w:t>
      </w:r>
    </w:p>
    <w:p w:rsidR="00954427" w:rsidRPr="00B21A32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 xml:space="preserve">- обеспечено </w:t>
      </w:r>
      <w:r>
        <w:rPr>
          <w:rFonts w:ascii="Times New Roman" w:hAnsi="Times New Roman" w:cs="Times New Roman"/>
          <w:sz w:val="24"/>
          <w:szCs w:val="24"/>
        </w:rPr>
        <w:t xml:space="preserve">достижение плановых значений целевых </w:t>
      </w:r>
      <w:r w:rsidRPr="00B21A32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A32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954427" w:rsidRPr="00B21A32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32">
        <w:rPr>
          <w:rFonts w:ascii="Times New Roman" w:hAnsi="Times New Roman" w:cs="Times New Roman"/>
          <w:sz w:val="24"/>
          <w:szCs w:val="24"/>
        </w:rPr>
        <w:t>В период реализации муниципальной программы «Реализация регионального компонента приоритетных национальных проектов в сфере физической культуры и спорта в Артемовском городском округе на 2012-2014 годы»  на территории Артемовского городского округа обеспечивались условия для развития физической культуры и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A32">
        <w:rPr>
          <w:rFonts w:ascii="Times New Roman" w:hAnsi="Times New Roman" w:cs="Times New Roman"/>
          <w:sz w:val="24"/>
          <w:szCs w:val="24"/>
        </w:rPr>
        <w:t xml:space="preserve">спорта, создавались условия для укрепления здоровья населения Артемовского городского округа и популяризации физической культуры и спорта среди различных групп населения. </w:t>
      </w:r>
      <w:proofErr w:type="gramEnd"/>
    </w:p>
    <w:p w:rsidR="00954427" w:rsidRPr="00B21A32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4F0" w:rsidRPr="00B21A32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1. Оценка полноты финансирования</w:t>
      </w:r>
      <w:r w:rsidR="00F645F2" w:rsidRPr="00B21A32">
        <w:rPr>
          <w:rFonts w:ascii="Times New Roman" w:hAnsi="Times New Roman" w:cs="Times New Roman"/>
          <w:sz w:val="24"/>
          <w:szCs w:val="24"/>
        </w:rPr>
        <w:t xml:space="preserve"> (</w:t>
      </w:r>
      <w:r w:rsidR="00F645F2" w:rsidRPr="00B21A3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645F2" w:rsidRPr="00B21A32">
        <w:rPr>
          <w:rFonts w:ascii="Times New Roman" w:hAnsi="Times New Roman" w:cs="Times New Roman"/>
          <w:sz w:val="24"/>
          <w:szCs w:val="24"/>
        </w:rPr>
        <w:t>1)</w:t>
      </w:r>
      <w:r w:rsidRPr="00B21A32">
        <w:rPr>
          <w:rFonts w:ascii="Times New Roman" w:hAnsi="Times New Roman" w:cs="Times New Roman"/>
          <w:sz w:val="24"/>
          <w:szCs w:val="24"/>
        </w:rPr>
        <w:t>.</w:t>
      </w:r>
    </w:p>
    <w:p w:rsidR="00EB14F0" w:rsidRPr="00B21A32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 xml:space="preserve">Запланированный объем расходов на муниципальную программу на 2014 год – </w:t>
      </w:r>
      <w:r w:rsidR="003835EB">
        <w:rPr>
          <w:rFonts w:ascii="Times New Roman" w:hAnsi="Times New Roman" w:cs="Times New Roman"/>
          <w:sz w:val="24"/>
          <w:szCs w:val="24"/>
        </w:rPr>
        <w:t xml:space="preserve">13 786,80 </w:t>
      </w:r>
      <w:r w:rsidRPr="00B21A32">
        <w:rPr>
          <w:rFonts w:ascii="Times New Roman" w:hAnsi="Times New Roman" w:cs="Times New Roman"/>
          <w:sz w:val="24"/>
          <w:szCs w:val="24"/>
        </w:rPr>
        <w:t xml:space="preserve"> рублей, фактический объем расходов за 2014 год – 9250,47 рублей.</w:t>
      </w:r>
    </w:p>
    <w:p w:rsidR="00F645F2" w:rsidRPr="00B21A32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B21A3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21A32">
        <w:rPr>
          <w:rFonts w:ascii="Times New Roman" w:hAnsi="Times New Roman" w:cs="Times New Roman"/>
          <w:sz w:val="24"/>
          <w:szCs w:val="24"/>
        </w:rPr>
        <w:t xml:space="preserve">1 – </w:t>
      </w:r>
      <w:r w:rsidR="003835EB">
        <w:rPr>
          <w:rFonts w:ascii="Times New Roman" w:hAnsi="Times New Roman" w:cs="Times New Roman"/>
          <w:sz w:val="24"/>
          <w:szCs w:val="24"/>
        </w:rPr>
        <w:t>0,67</w:t>
      </w:r>
      <w:r w:rsidR="00FA1292" w:rsidRPr="00B21A32">
        <w:rPr>
          <w:rFonts w:ascii="Times New Roman" w:hAnsi="Times New Roman" w:cs="Times New Roman"/>
          <w:sz w:val="24"/>
          <w:szCs w:val="24"/>
        </w:rPr>
        <w:t xml:space="preserve"> </w:t>
      </w:r>
      <w:r w:rsidRPr="00B21A32">
        <w:rPr>
          <w:rFonts w:ascii="Times New Roman" w:hAnsi="Times New Roman" w:cs="Times New Roman"/>
          <w:sz w:val="24"/>
          <w:szCs w:val="24"/>
        </w:rPr>
        <w:t>по шкале оценк</w:t>
      </w:r>
      <w:r w:rsidR="00B21A32" w:rsidRPr="00B21A32">
        <w:rPr>
          <w:rFonts w:ascii="Times New Roman" w:hAnsi="Times New Roman" w:cs="Times New Roman"/>
          <w:sz w:val="24"/>
          <w:szCs w:val="24"/>
        </w:rPr>
        <w:t>и</w:t>
      </w:r>
      <w:r w:rsidRPr="00B21A32">
        <w:rPr>
          <w:rFonts w:ascii="Times New Roman" w:hAnsi="Times New Roman" w:cs="Times New Roman"/>
          <w:sz w:val="24"/>
          <w:szCs w:val="24"/>
        </w:rPr>
        <w:t xml:space="preserve"> полноты финансирования – </w:t>
      </w:r>
      <w:r w:rsidR="00FA1292" w:rsidRPr="00B21A32">
        <w:rPr>
          <w:rFonts w:ascii="Times New Roman" w:hAnsi="Times New Roman" w:cs="Times New Roman"/>
          <w:sz w:val="24"/>
          <w:szCs w:val="24"/>
        </w:rPr>
        <w:t>«</w:t>
      </w:r>
      <w:r w:rsidR="003835EB" w:rsidRPr="003835EB">
        <w:rPr>
          <w:rFonts w:ascii="Times New Roman" w:hAnsi="Times New Roman" w:cs="Times New Roman"/>
          <w:sz w:val="24"/>
          <w:szCs w:val="24"/>
        </w:rPr>
        <w:t>неполное финансирование</w:t>
      </w:r>
      <w:r w:rsidR="00FA1292" w:rsidRPr="00B21A32">
        <w:rPr>
          <w:rFonts w:ascii="Times New Roman" w:hAnsi="Times New Roman" w:cs="Times New Roman"/>
          <w:sz w:val="24"/>
          <w:szCs w:val="24"/>
        </w:rPr>
        <w:t>»</w:t>
      </w:r>
      <w:r w:rsidRPr="00B21A32">
        <w:rPr>
          <w:rFonts w:ascii="Times New Roman" w:hAnsi="Times New Roman" w:cs="Times New Roman"/>
          <w:sz w:val="24"/>
          <w:szCs w:val="24"/>
        </w:rPr>
        <w:t>.</w:t>
      </w:r>
    </w:p>
    <w:p w:rsidR="00B21A32" w:rsidRPr="00B21A32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 xml:space="preserve">2. Оценка достижения плановых значений целевых показателей </w:t>
      </w:r>
      <w:r w:rsidR="00B21A32" w:rsidRPr="00B21A32">
        <w:rPr>
          <w:rFonts w:ascii="Times New Roman" w:hAnsi="Times New Roman" w:cs="Times New Roman"/>
          <w:sz w:val="24"/>
          <w:szCs w:val="24"/>
        </w:rPr>
        <w:t>(Q2) .</w:t>
      </w:r>
    </w:p>
    <w:p w:rsidR="00F862B9" w:rsidRPr="00B21A32" w:rsidRDefault="00B21A3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>
        <w:rPr>
          <w:rFonts w:ascii="Times New Roman" w:hAnsi="Times New Roman" w:cs="Times New Roman"/>
          <w:sz w:val="24"/>
          <w:szCs w:val="24"/>
        </w:rPr>
        <w:t>–</w:t>
      </w:r>
      <w:r w:rsidRPr="00B21A32">
        <w:rPr>
          <w:rFonts w:ascii="Times New Roman" w:hAnsi="Times New Roman" w:cs="Times New Roman"/>
          <w:sz w:val="24"/>
          <w:szCs w:val="24"/>
        </w:rPr>
        <w:t xml:space="preserve"> </w:t>
      </w:r>
      <w:r w:rsidR="0069022C">
        <w:rPr>
          <w:rFonts w:ascii="Times New Roman" w:hAnsi="Times New Roman" w:cs="Times New Roman"/>
          <w:sz w:val="24"/>
          <w:szCs w:val="24"/>
        </w:rPr>
        <w:t>100</w:t>
      </w:r>
      <w:r w:rsidRPr="00B21A32">
        <w:rPr>
          <w:rFonts w:ascii="Times New Roman" w:hAnsi="Times New Roman" w:cs="Times New Roman"/>
          <w:sz w:val="24"/>
          <w:szCs w:val="24"/>
        </w:rPr>
        <w:t xml:space="preserve"> %. По шкале </w:t>
      </w:r>
      <w:r w:rsidRPr="00B21A32">
        <w:rPr>
          <w:rFonts w:ascii="Times New Roman" w:eastAsia="Calibri" w:hAnsi="Times New Roman" w:cs="Times New Roman"/>
          <w:sz w:val="24"/>
          <w:szCs w:val="24"/>
        </w:rPr>
        <w:t xml:space="preserve">оценки достижения плановых значений целевых показателей значение </w:t>
      </w:r>
      <w:r w:rsidRPr="00B21A3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B21A32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D44AFD">
        <w:rPr>
          <w:rFonts w:ascii="Times New Roman" w:eastAsia="Calibri" w:hAnsi="Times New Roman" w:cs="Times New Roman"/>
          <w:sz w:val="24"/>
          <w:szCs w:val="24"/>
        </w:rPr>
        <w:t>–</w:t>
      </w:r>
      <w:r w:rsidRPr="00B21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22C">
        <w:rPr>
          <w:rFonts w:ascii="Times New Roman" w:hAnsi="Times New Roman" w:cs="Times New Roman"/>
          <w:sz w:val="24"/>
          <w:szCs w:val="24"/>
        </w:rPr>
        <w:t>1,0</w:t>
      </w:r>
      <w:r w:rsidR="00FA1292" w:rsidRPr="00B21A32">
        <w:rPr>
          <w:rFonts w:ascii="Times New Roman" w:hAnsi="Times New Roman" w:cs="Times New Roman"/>
          <w:sz w:val="24"/>
          <w:szCs w:val="24"/>
        </w:rPr>
        <w:t xml:space="preserve"> – «</w:t>
      </w:r>
      <w:r w:rsidR="0069022C">
        <w:rPr>
          <w:rFonts w:ascii="Times New Roman" w:hAnsi="Times New Roman" w:cs="Times New Roman"/>
          <w:sz w:val="24"/>
          <w:szCs w:val="24"/>
        </w:rPr>
        <w:t>высокая результативность</w:t>
      </w:r>
      <w:r w:rsidR="00FA1292" w:rsidRPr="00B21A3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21A32">
        <w:rPr>
          <w:rFonts w:ascii="Times New Roman" w:hAnsi="Times New Roman" w:cs="Times New Roman"/>
          <w:sz w:val="24"/>
          <w:szCs w:val="24"/>
        </w:rPr>
        <w:t xml:space="preserve"> </w:t>
      </w:r>
      <w:r w:rsidR="00FA1292" w:rsidRPr="00B21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A32" w:rsidRPr="00B21A32" w:rsidRDefault="00372071" w:rsidP="00F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муниципальной программы</w:t>
      </w:r>
      <w:r w:rsidR="00B21A32" w:rsidRPr="00B21A32">
        <w:rPr>
          <w:rFonts w:ascii="Times New Roman" w:hAnsi="Times New Roman" w:cs="Times New Roman"/>
          <w:sz w:val="24"/>
          <w:szCs w:val="24"/>
        </w:rPr>
        <w:t>.</w:t>
      </w:r>
    </w:p>
    <w:p w:rsidR="00FA1292" w:rsidRPr="00B21A32" w:rsidRDefault="00B21A32" w:rsidP="0038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32">
        <w:rPr>
          <w:rFonts w:ascii="Times New Roman" w:hAnsi="Times New Roman" w:cs="Times New Roman"/>
          <w:sz w:val="24"/>
          <w:szCs w:val="24"/>
        </w:rPr>
        <w:t>Оценка по результирующей шкале оценки эффективности реализации муниципальной программы – «</w:t>
      </w:r>
      <w:r w:rsidR="003835EB">
        <w:rPr>
          <w:rFonts w:ascii="Times New Roman" w:hAnsi="Times New Roman" w:cs="Times New Roman"/>
          <w:sz w:val="24"/>
          <w:szCs w:val="24"/>
        </w:rPr>
        <w:t>4</w:t>
      </w:r>
      <w:r w:rsidRPr="00B21A32">
        <w:rPr>
          <w:rFonts w:ascii="Times New Roman" w:hAnsi="Times New Roman" w:cs="Times New Roman"/>
          <w:sz w:val="24"/>
          <w:szCs w:val="24"/>
        </w:rPr>
        <w:t xml:space="preserve">» </w:t>
      </w:r>
      <w:r w:rsidR="00FA1292" w:rsidRPr="00B21A32">
        <w:rPr>
          <w:rFonts w:ascii="Times New Roman" w:hAnsi="Times New Roman" w:cs="Times New Roman"/>
          <w:sz w:val="24"/>
          <w:szCs w:val="24"/>
        </w:rPr>
        <w:t>«</w:t>
      </w:r>
      <w:r w:rsidR="003835EB" w:rsidRPr="003835EB">
        <w:rPr>
          <w:rFonts w:ascii="Times New Roman" w:hAnsi="Times New Roman" w:cs="Times New Roman"/>
          <w:sz w:val="24"/>
          <w:szCs w:val="24"/>
        </w:rPr>
        <w:t>Приемлемый уровень эффективности муниципальной программы</w:t>
      </w:r>
      <w:r w:rsidR="00FA1292" w:rsidRPr="00B21A32">
        <w:rPr>
          <w:rFonts w:ascii="Times New Roman" w:hAnsi="Times New Roman" w:cs="Times New Roman"/>
          <w:sz w:val="24"/>
          <w:szCs w:val="24"/>
        </w:rPr>
        <w:t>».</w:t>
      </w:r>
    </w:p>
    <w:p w:rsidR="00954427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A32" w:rsidRPr="00B21A32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A32" w:rsidRPr="00B21A32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5435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BA28-8319-4842-AB7C-1AE5DD97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Любовь А. Буданцева</cp:lastModifiedBy>
  <cp:revision>2</cp:revision>
  <cp:lastPrinted>2016-01-12T11:51:00Z</cp:lastPrinted>
  <dcterms:created xsi:type="dcterms:W3CDTF">2016-05-19T12:00:00Z</dcterms:created>
  <dcterms:modified xsi:type="dcterms:W3CDTF">2016-05-19T12:00:00Z</dcterms:modified>
</cp:coreProperties>
</file>