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AF" w:rsidRPr="00CE26AF" w:rsidRDefault="00CE26AF" w:rsidP="00CE26AF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Arial"/>
          <w:b/>
          <w:color w:val="000000"/>
          <w:sz w:val="28"/>
          <w:szCs w:val="28"/>
        </w:rPr>
      </w:pPr>
      <w:r w:rsidRPr="00CE26AF">
        <w:rPr>
          <w:rFonts w:ascii="Liberation Serif" w:hAnsi="Liberation Serif" w:cs="Arial"/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CE26AF" w:rsidRDefault="00CE26AF" w:rsidP="00CE26AF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left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</w:r>
    </w:p>
    <w:p w:rsidR="00CE26AF" w:rsidRDefault="00CE26AF" w:rsidP="00CE26AF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1) местонахождение, контактные телефоны, адрес официального сайта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Артемовского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городского округа </w:t>
      </w:r>
      <w:bookmarkStart w:id="0" w:name="_GoBack"/>
      <w:bookmarkEnd w:id="0"/>
      <w:r>
        <w:rPr>
          <w:rFonts w:ascii="Liberation Serif" w:hAnsi="Liberation Serif" w:cs="Arial"/>
          <w:color w:val="000000"/>
          <w:sz w:val="28"/>
          <w:szCs w:val="28"/>
        </w:rPr>
        <w:t xml:space="preserve">и адреса электронной почты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CE26AF" w:rsidRDefault="00CE26AF" w:rsidP="00CE26AF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2) график работы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, время приема посетителей;</w:t>
      </w:r>
    </w:p>
    <w:p w:rsidR="00CE26AF" w:rsidRDefault="00CE26AF" w:rsidP="00CE26AF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</w:r>
      <w:r>
        <w:rPr>
          <w:rFonts w:ascii="Liberation Serif" w:hAnsi="Liberation Serif"/>
          <w:color w:val="000000"/>
          <w:sz w:val="28"/>
          <w:szCs w:val="28"/>
        </w:rPr>
        <w:t>инспекторов</w:t>
      </w:r>
      <w:r>
        <w:rPr>
          <w:rFonts w:ascii="Liberation Serif" w:hAnsi="Liberation Serif" w:cs="Arial"/>
          <w:color w:val="000000"/>
          <w:sz w:val="28"/>
          <w:szCs w:val="28"/>
        </w:rPr>
        <w:t>, осуществляющих прием и информирование;</w:t>
      </w:r>
    </w:p>
    <w:p w:rsidR="00CE26AF" w:rsidRDefault="00CE26AF" w:rsidP="00CE26AF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CE26AF" w:rsidRDefault="00CE26AF" w:rsidP="00CE26AF">
      <w:pPr>
        <w:widowControl w:val="0"/>
        <w:autoSpaceDE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5) перечень актов, содержащих обязательные требования.</w:t>
      </w:r>
    </w:p>
    <w:p w:rsidR="00CE26AF" w:rsidRDefault="00CE26AF" w:rsidP="00CE26AF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CE26AF" w:rsidRDefault="00CE26AF" w:rsidP="00CE26AF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Контролируемое лицо вправе направить в </w:t>
      </w:r>
      <w:r>
        <w:rPr>
          <w:rFonts w:ascii="Liberation Serif" w:hAnsi="Liberation Serif"/>
          <w:color w:val="000000"/>
          <w:sz w:val="28"/>
          <w:szCs w:val="28"/>
        </w:rPr>
        <w:t>контрольный орган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</w:r>
      <w:hyperlink r:id="rId5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E26AF" w:rsidRDefault="00CE26AF" w:rsidP="00CE26AF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Консультирование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в письменной форме, в соответствии запросом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контролируемого лица о предоставлении информации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  <w:t>и осуществлении муниципального контроля, осуществляется по следующим вопросам:</w:t>
      </w:r>
    </w:p>
    <w:p w:rsidR="00CE26AF" w:rsidRDefault="00CE26AF" w:rsidP="00CE26AF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CE26AF" w:rsidRDefault="00CE26AF" w:rsidP="00CE26AF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CE26AF" w:rsidRDefault="00CE26AF" w:rsidP="00CE26AF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3) основание объявления обратившемуся контролируемому лицу предостережения;</w:t>
      </w:r>
    </w:p>
    <w:p w:rsidR="00CE26AF" w:rsidRDefault="00CE26AF" w:rsidP="00CE26AF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</w:t>
      </w:r>
      <w:hyperlink r:id="rId6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E26AF" w:rsidRDefault="00CE26AF" w:rsidP="00CE26A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E26AF" w:rsidRDefault="00CE26AF" w:rsidP="00CE26AF"/>
    <w:p w:rsidR="004C2268" w:rsidRDefault="004C2268"/>
    <w:sectPr w:rsidR="004C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AF"/>
    <w:rsid w:val="004C2268"/>
    <w:rsid w:val="00C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338F-373F-473B-AD6B-96D978B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hyperlink" Target="http://www.consultant.ru/document/cons_doc_LAW_3148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1</cp:revision>
  <dcterms:created xsi:type="dcterms:W3CDTF">2022-06-20T04:42:00Z</dcterms:created>
  <dcterms:modified xsi:type="dcterms:W3CDTF">2022-06-20T04:45:00Z</dcterms:modified>
</cp:coreProperties>
</file>