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39" w:rsidRPr="004C30D7" w:rsidRDefault="000D7F39" w:rsidP="000D7F3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967FF82" wp14:editId="55C211B1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39" w:rsidRPr="003B2FC7" w:rsidRDefault="000D7F39" w:rsidP="000D7F3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D7F39" w:rsidRPr="00AA2FC2" w:rsidRDefault="000D7F39" w:rsidP="000D7F3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0D7F39" w:rsidRPr="003B2FC7" w:rsidRDefault="000D7F39" w:rsidP="000D7F3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D7F39" w:rsidRPr="003B2FC7" w:rsidRDefault="000D7F39" w:rsidP="000D7F3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03.03.2023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093DEE" w:rsidRDefault="00093DEE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93DEE" w:rsidRPr="00753455" w:rsidRDefault="00093DEE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67DD2" w:rsidRDefault="007A342A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</w:t>
      </w:r>
      <w:r w:rsidRPr="0075345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у</w:t>
      </w:r>
      <w:r w:rsidR="00967DD2"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твер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ждении</w:t>
      </w:r>
      <w:r w:rsidR="00967DD2"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План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  <w:r w:rsidR="00967DD2"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мероприятий («дорожная карта») </w:t>
      </w:r>
    </w:p>
    <w:p w:rsidR="007A342A" w:rsidRPr="00753455" w:rsidRDefault="00967DD2" w:rsidP="00967DD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 повышению позиций Свердловской области в Национальном рейтинге состояния инвестиционного климата в субъектах Российской Федерации на территории Артемовского городского округа на 2023 год </w:t>
      </w:r>
    </w:p>
    <w:p w:rsidR="007A342A" w:rsidRPr="00753455" w:rsidRDefault="007A342A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7A342A" w:rsidRPr="00753455" w:rsidRDefault="007A342A" w:rsidP="007A342A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инвестиционной привлекательности Артемовского городского округа, руководствуясь Планом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2022-2023 годы от 11.10.2022 № 01-01-41/86, статьями 30, 31 Устава Артемовского городского округа,</w:t>
      </w:r>
    </w:p>
    <w:p w:rsidR="007A342A" w:rsidRPr="00753455" w:rsidRDefault="007A342A" w:rsidP="007A342A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7A342A" w:rsidRPr="00753455" w:rsidRDefault="007A342A" w:rsidP="008F4BE7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8F4BE7" w:rsidRPr="008F4B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территории Артемовского городского округа на 2023 год </w:t>
      </w:r>
      <w:r w:rsidR="005F3A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План мероприятий)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(Приложение).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Ответственным за реализацию </w:t>
      </w:r>
      <w:r w:rsidRPr="005F3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Плана</w:t>
      </w:r>
      <w:r w:rsidRPr="005F3AC9">
        <w:rPr>
          <w:rFonts w:ascii="Liberation Serif" w:hAnsi="Liberation Serif" w:cs="Liberation Serif"/>
          <w:sz w:val="28"/>
          <w:szCs w:val="28"/>
        </w:rPr>
        <w:t xml:space="preserve"> </w:t>
      </w:r>
      <w:r w:rsidR="005F3AC9" w:rsidRPr="005F3AC9">
        <w:rPr>
          <w:rFonts w:ascii="Liberation Serif" w:hAnsi="Liberation Serif" w:cs="Liberation Serif"/>
          <w:sz w:val="28"/>
          <w:szCs w:val="28"/>
        </w:rPr>
        <w:t>мероприятий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2.1 обеспечить реализацию мероприятий и достижение планируемых значений по показателям в установленные сроки;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2.2 представлять отчет о ходе выполнения мероприятий и достижении планируемых значений в отдел экономики, инвестиций и развития Администрации Артемовского городского округа. 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невыполнении </w:t>
      </w:r>
      <w:r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</w:t>
      </w:r>
      <w:r w:rsidRPr="00753455">
        <w:rPr>
          <w:rFonts w:ascii="Liberation Serif" w:hAnsi="Liberation Serif" w:cs="Liberation Serif"/>
          <w:sz w:val="28"/>
          <w:szCs w:val="28"/>
        </w:rPr>
        <w:t xml:space="preserve"> </w:t>
      </w:r>
      <w:r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0C59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 </w:t>
      </w:r>
      <w:proofErr w:type="spellStart"/>
      <w:r w:rsidR="000C59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недостижении</w:t>
      </w:r>
      <w:proofErr w:type="spellEnd"/>
      <w:r w:rsidR="000C59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значений Плана </w:t>
      </w:r>
      <w:r w:rsidR="005F3AC9" w:rsidRPr="005F3AC9">
        <w:rPr>
          <w:rFonts w:ascii="Liberation Serif" w:hAnsi="Liberation Serif" w:cs="Liberation Serif"/>
          <w:sz w:val="28"/>
          <w:szCs w:val="28"/>
        </w:rPr>
        <w:t>мероприятий</w:t>
      </w:r>
      <w:r w:rsidR="005F3AC9"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установленный срок, к отчету необходимо прилагать аналитическую записку о причинах нарушени</w:t>
      </w:r>
      <w:r w:rsid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предложения по обеспечению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выполнения.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- ежеквартально до 2 числа месяца, следующего за отчетным периодом.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3. Отделу экономики, инвестиций и развития Администрации Артемовского городского округа (Кириллова О.С.)</w:t>
      </w:r>
      <w:r w:rsidRPr="00753455">
        <w:t xml:space="preserve">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представлять сводный отчет о ходе выполнения мероприятий Плана</w:t>
      </w:r>
      <w:r w:rsidRPr="00753455">
        <w:t xml:space="preserve">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достижении планируемых значений Плана: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первому заместителю главы Артемовского городского округа. Срок - ежеквартально до 6 числа месяца, следующего за отчетным периодом;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Министерство инвестиций и развития Свердловской области. Срок - ежеквартально до 10 числа месяца, следующего за отчетным периодом;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Восточный управленческий округ. Срок - ежеквартально до 10 числа месяца, следующего за отчетным периодом.</w:t>
      </w:r>
    </w:p>
    <w:p w:rsidR="000C594D" w:rsidRDefault="000C594D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невыполнении мероприятий или </w:t>
      </w:r>
      <w:proofErr w:type="spellStart"/>
      <w:r w:rsidRP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недостижении</w:t>
      </w:r>
      <w:proofErr w:type="spellEnd"/>
      <w:r w:rsidRP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значений Плана мероприятий в установленный срок, к отчету необходимо прилагать аналитическую записку о причинах нарушения и предложения по обеспечению выполнения.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7A342A" w:rsidRPr="00753455" w:rsidRDefault="007A342A" w:rsidP="007A342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7A342A" w:rsidRPr="00753455" w:rsidRDefault="007A342A" w:rsidP="007A342A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342A" w:rsidRPr="00753455" w:rsidRDefault="007A342A" w:rsidP="007A342A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53BA" w:rsidRDefault="007A342A" w:rsidP="007A342A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К.М. Трофимов</w:t>
      </w:r>
    </w:p>
    <w:p w:rsidR="000D7F39" w:rsidRDefault="000D7F39" w:rsidP="007A342A">
      <w:pPr>
        <w:spacing w:after="0" w:line="240" w:lineRule="auto"/>
        <w:ind w:right="-1"/>
        <w:jc w:val="both"/>
        <w:sectPr w:rsidR="000D7F39" w:rsidSect="008F4BE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0D7F39" w:rsidRPr="00753455" w:rsidTr="00167AB2">
        <w:tc>
          <w:tcPr>
            <w:tcW w:w="8188" w:type="dxa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0D7F39" w:rsidRPr="00753455" w:rsidRDefault="000D7F39" w:rsidP="000D7F3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3455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0D7F39" w:rsidRPr="00753455" w:rsidRDefault="000D7F39" w:rsidP="000D7F3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7F39" w:rsidRPr="00753455" w:rsidRDefault="000D7F39" w:rsidP="000D7F3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3455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0D7F39" w:rsidRPr="00753455" w:rsidRDefault="000D7F39" w:rsidP="000D7F3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3455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Артемовского городского округа</w:t>
            </w:r>
          </w:p>
          <w:p w:rsidR="000D7F39" w:rsidRPr="00753455" w:rsidRDefault="000D7F39" w:rsidP="000D7F3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3455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03.03.2023</w:t>
            </w:r>
            <w:r w:rsidRPr="00753455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221</w:t>
            </w:r>
            <w:bookmarkStart w:id="0" w:name="_GoBack"/>
            <w:bookmarkEnd w:id="0"/>
            <w:r w:rsidRPr="00753455"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F39" w:rsidRPr="00753455" w:rsidRDefault="000D7F39" w:rsidP="000D7F3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D7F39" w:rsidRPr="00753455" w:rsidRDefault="000D7F39" w:rsidP="000D7F3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D7F39" w:rsidRDefault="000D7F39" w:rsidP="000D7F3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2503">
        <w:rPr>
          <w:rFonts w:ascii="Liberation Serif" w:hAnsi="Liberation Serif" w:cs="Liberation Serif"/>
          <w:sz w:val="28"/>
          <w:szCs w:val="28"/>
        </w:rPr>
        <w:t xml:space="preserve">План мероприятий («дорожная карта») </w:t>
      </w:r>
    </w:p>
    <w:p w:rsidR="000D7F39" w:rsidRDefault="000D7F39" w:rsidP="000D7F3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2503">
        <w:rPr>
          <w:rFonts w:ascii="Liberation Serif" w:hAnsi="Liberation Serif" w:cs="Liberation Serif"/>
          <w:sz w:val="28"/>
          <w:szCs w:val="28"/>
        </w:rPr>
        <w:t xml:space="preserve">по повышению позиций Свердловской области в Национальном рейтинге состояния инвестиционного климата </w:t>
      </w:r>
    </w:p>
    <w:p w:rsidR="000D7F39" w:rsidRDefault="000D7F39" w:rsidP="000D7F3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2503">
        <w:rPr>
          <w:rFonts w:ascii="Liberation Serif" w:hAnsi="Liberation Serif" w:cs="Liberation Serif"/>
          <w:sz w:val="28"/>
          <w:szCs w:val="28"/>
        </w:rPr>
        <w:t xml:space="preserve">в субъектах Российской Федерации на территории Артемовского городского округа на 2023 год </w:t>
      </w:r>
    </w:p>
    <w:p w:rsidR="000D7F39" w:rsidRPr="00753455" w:rsidRDefault="000D7F39" w:rsidP="000D7F3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19"/>
        <w:gridCol w:w="2460"/>
        <w:gridCol w:w="6448"/>
        <w:gridCol w:w="4891"/>
      </w:tblGrid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</w:t>
            </w:r>
          </w:p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мероприятия/</w:t>
            </w:r>
          </w:p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 за достижение результата и реализацию мероприятия/</w:t>
            </w:r>
          </w:p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Критерий оценки показателя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РЕГУЛЯТОРНАЯ СРЕДА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А2. Повышение эффективности процедур по выдаче разрешений на строительство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А2.1. Среднее время получения разрешений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 строительство (рабочих дней).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Осуществление регулярного мониторинга предельного срока прохождения процедур, необходимых для получения разрешений на строительство.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Принятие мер оперативного реагирования по итогам проведенного мониторинга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Срок - ежеквартально,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29.12.2023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рабочих дней от запроса на получение градостроительного плана земельного участка до получения разрешения на строительство для одного респондента, исключая время ожидания по инициативе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заявителя и/или из-за непредставления полного пакета документов, необходимых для проведения процедуры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А2.2. Среднее количество процедур, необходимых для получения разрешений на строительство (штук).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1. Проведение опросов застройщиков и анализ данных о фактически пройденных процедурах, необходимых для получения разрешений на строительство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Актуализация информации об этапах получения разрешения на строительство на сайте Артемовского городского округа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по мере необходимости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общее количество процедур для получения разрешений на строительство – количество любых обязательных или обычно происходящих процедур с целью получения разрешения на строительство от запроса на получение градостроительного плана земельного участка до получения разрешения на строительство.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</w:t>
            </w:r>
            <w:r w:rsidRPr="00753455"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необходимого для законного функционирования бизнеса субъекта. Взаимодействия с разными отделами одной организации считаются отдельными процедурами. Основные процедуры, необходимые для получения разрешения на строительство: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– получение градостроительного плана земельного участка;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– получение технических условий и заключение договоров подключения (технологического присоединения) объектов капитального строительства к сетям инженерно-технического обеспечения;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– проведение государственной экспертизы проектной документации и результатов инженерных изысканий;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– получение разрешения на строительство;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– получение дополнительных разрешений, связанных с особенностями градостроительной деятельности (порубочного билета, разрешения на осуществление земляных работ, согласование проекта организации строительства и др.);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– иные процедуры, которые требовалось пройти для получения разрешений на строительство (агрегированный вид)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А2.3. </w:t>
            </w:r>
            <w:proofErr w:type="gram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Удовлетворен-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деятельностью муниципальных органов, уполномоченных на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выдачу разрешений на строительство 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 Обеспечение надлежащего ведения государственной информационной системы обеспечения градостроительной деятельности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Мониторинг обеспечения надлежащего ведения системы государственной информационной системы обеспечения градостроительной деятельности в муниципальных образованиях. Принятие мер оперативного реагирования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ежеквартально,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скорость выдачи разрешений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Информирование застройщиков о сокращении срока и упрощении процедур по выдаче разрешений на строительство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полнота и доступность информации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не менее 4 обучающих мероприятий для застройщиков в целях повышения удовлетворенности качеством и сроками оказания государственных и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муниципальных услуг по выдаче разрешений на строительство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ежеквартально,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необходимость представления не предусмотренных законодательством документов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не менее 4 обучающих мероприятий ежегодно в форме семинаров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архитектуры и градостроительства Администрации Артемовского городского округа, которые принимают участие в предоставлении государственных и муниципальных услуг в сфере строительства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профессионализм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работников,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77591">
              <w:rPr>
                <w:rFonts w:ascii="Liberation Serif" w:hAnsi="Liberation Serif" w:cs="Liberation Serif"/>
                <w:sz w:val="24"/>
                <w:szCs w:val="24"/>
              </w:rPr>
              <w:t xml:space="preserve">которые принимают участие в предоставлении государственных и муниципальных услуг в сфере строительства 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анализа возможности перевода в электронный вид предоставления муниципальных услуг в сфере строительства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возможность получения разрешения на строительство и реконструкцию объектов капитального строительства в электронном виде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А9. Эффективность процедур по вводу объекта в эксплуатацию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А9.1. Среднее время получения разрешений на ввод в эксплуатацию жилого объекта или здания нежилого назначения (рабочих дней)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Осуществление регулярного мониторинга предельного срока прохождения процедур, необходимых для получения разрешений на ввод в эксплуатацию объекта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Артемовского городского округа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 Принятие мер оперативного реагирования по итогам проведенного мониторинга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Срок - ежеквартально,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29.12.2023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время получения разрешений на ввод в эксплуатацию для респондента – количество рабочих дней от запроса до получения разрешения на ввод в эксплуатацию для одного респондента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А9.2. Среднее количество процедур, необходимых для получения разрешений на ввод в эксплуатацию жилого объекта или здания нежилого назначения (штук)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опросов застройщиков и анализ данных о фактически пройденных процедурах, необходимых для получения разрешений на ввод в эксплуатацию, на постоянной основе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Срок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29.12.2023 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общее количество процедур для получения разрешений на ввод в эксплуатацию для респондента – количество любых обязательных или обычно происходящих процедур с целью получения разрешения на ввод в эксплуатацию для одного респондента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А9.3. Удовлетворенность эффективностью процедур, </w:t>
            </w:r>
            <w:proofErr w:type="spellStart"/>
            <w:proofErr w:type="gram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необхо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димых</w:t>
            </w:r>
            <w:proofErr w:type="spellEnd"/>
            <w:proofErr w:type="gram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для получения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разрешений на ввод в эксплуатацию жило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объекта или здания нежилого назначения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Актуализация информации о процедуре получения разрешения на ввод в эксплуатацию на сайте Артемовского городского округа в сети «Интернет»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полнота и доступность информации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не менее 4 обучающих мероприятий ежегодно в форме семинаров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архитектуры и градостроительства Администрации Артемовского городского округа, которые принимают участие в предоставлении государственных и муниципальных услуг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необходимость предоставления не предусмотренных законодательством документов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не менее 4 обучающих мероприятий ежегодно в форме семинаров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, принимающих участие в предоставлении государственных и муниципальных услуг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профессионализм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работников,</w:t>
            </w:r>
            <w:r>
              <w:t xml:space="preserve"> </w:t>
            </w:r>
            <w:r w:rsidRPr="00D77591">
              <w:rPr>
                <w:rFonts w:ascii="Liberation Serif" w:hAnsi="Liberation Serif" w:cs="Liberation Serif"/>
                <w:sz w:val="24"/>
                <w:szCs w:val="24"/>
              </w:rPr>
              <w:t>принимающих участие в предоставлении государственных и муниципальных услуг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анализа возможности перевода в электронный вид предоставления муниципальных услуг в сфере строительства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возможность прохождения процедуры (или прохождения части этапов) через сеть «Интернет»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А10. Эффективность процедур по получению в аренду земельных участков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А10.1а. Среднее время получения в аренду земельных участков (без проведения торгов) (рабочих дней)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(без торгов), и реагирование на информацию о нарушении сроков, предусмотренных алгоритмом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</w:t>
            </w:r>
            <w:r w:rsidRPr="00753455"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ежеквартально,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количество рабочих дней от запроса на получение в аренду земельных участков до получения запрошенных участков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А10.2а. Среднее количество процедур для получения в аренду земельных участков (без проведения торгов) (штук)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(без торгов), и реагирование на информацию о запросах дополнительных документов, не предусмотренных алгоритмом, и иных нарушениях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ежеквартально,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количество любых обязательных или обычно происходящих процедур с целью получения в аренду земельного участка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А10.3а. Удовлетворенность эффективностью процедур по получению в аренду земельных участков (без проведения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1. Оптимизация сроков и процедур по итогам актуализации алгоритма действий инвестора для получения земельного участка в аренду (без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30.06.2023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Реализация плана-графика по внедрению и ведению в Свердловской области алгоритма действий инвестора для получения земельного участка в аренду (без торгов) на 2022–2023 годы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3. Участие в проекте «Сквозной путь инвестора» с целью оптимизации бизнес-процессов получения государственных и муниципальных услуг по передаче в аренду земельных участков (без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 Обеспечение анкетирования заявителей-респондентов на предмет удовлетворенности качеством и сроками оказания услуг по передаче в аренду земельных участков (без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5. Проведение по итогам анкетирования анализа данных о сроках и фактически пройденных процедурах, необходимых для передачи в аренду земельных участков (без торгов).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Принятие мер оперативного реагирования по итогам проведенного мониторинга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время предоставления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земельного участка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аренду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за размещением информационных материалов о предоставлении услуг по передаче в аренду земельных участков (без проведения торгов) на информационных ресурсах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Артемовском городском округе.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–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полнота и доступность информации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</w:t>
            </w:r>
          </w:p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1. 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(без проведения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необходимость представления не предусмотренных законодательством документов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Направление запросов в уполномоченные органы в порядке межведомственного информационного взаимодействия при оказании государственных и муниципальных услуг по передаче в аренду земельных участков (без проведения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анализа возможности перевода в электронный вид предоставления муниципальных услуг по передаче в аренду земельных участков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возможность получения земельного участка в аренду в электронном виде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А10.1б.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Среднее время получения в аренду земельных участков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(рабочих дней)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(с проведением торгов), и реагирование на информацию о нарушении сроков, предусмотренных алгоритмом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ежеквартально,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количество рабочих дней от запроса на получение в аренду земельных участков до получения запрошенных участков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А10.2б.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процедур для получения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 аренду земельных участков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(с проведением торгов) (штук)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(с проведением торгов), и реагирование на информацию о запросах дополнительных документов, не предусмотренных алгоритмом, и иных нарушениях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ежеквартально,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количество любых обязательных или обычно происходящих процедур с целью получения в аренду земельного участка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А10.3б. Удовлетворенность эффективностью процедур по получению в аренду земельных участков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1. Оптимизация сроков и процедур по итогам актуализации алгоритма действий инвестора для получения земельного участка в аренду 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30.06.2023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Реализация плана-графика по внедрению и ведению в Свердловской области алгоритма действий инвестора для получения земельного участка в аренду (с проведением торгов) на 2022–2023 годы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3. Участие в проекте «Сквозной путь инвестора» с целью оптимизации бизнес-процессов получения государственных и муниципальных услуг по передаче в аренду земельных участков 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- 29.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 Обеспечение анкетирования заявителей-респондентов на предмет удовлетворенности качеством и сроками оказания услуг по передаче в аренду земельных участков 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5. Проведение по итогам анкетирования анализа данных о сроках и фактически пройденных процедурах, необходимых для передачи в аренду земельных участков (с проведением торгов).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Принятие мер оперативного реагирования по итогам проведенного мониторинга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время предоставления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земельного участка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аренду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за размещением информационных материалов о предоставлении услуг по передаче в аренду земельных участков (с проведением торгов) на информационных ресурсах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–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полнота и доступность информации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1. Направление запросов в уполномоченные органы в порядке межведомственного информационного взаимодействия при оказании государственных и муниципальных услуг по передаче в аренду земельных участков 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(с проведением торгов)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–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необходимость представления не предусмотренных законодательством документов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ИНСТИТУТЫ ДЛЯ БИЗНЕСА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Б1. Эффективность институтов, обеспечивающих защищенность бизнеса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Б1.2. Эффективность института оценки регулирующего воздействия в субъекте Российской Федерации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(средний балл)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1. Обеспечение проведения ОРВ не менее 3 проектов муниципальных НПА, подлежащих оценке регулирующего воздействия, на интернет-портале «Оценка регулирующего возд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ействия в Свердловской области».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отдел экономики, инвестиций и развития Администрации Артемовского городского округа (Кириллова О.С.)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Обеспечение проведения экспертизы или оценки фактического воздействия не менее 3 муниципальных НПА на интернет-портале «Оценка регулирующего воздействия в Свердловской области»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отдел экономики, инвестиций и развития Администрации Артемовского городского округа (Кириллова О.С.)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Эффективность ОРВ в органах местного самоуправления Артемовского городского округа 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Б1.3. Оценка механизма государственно-частного партнерства (далее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ГЧП)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F5F28">
              <w:rPr>
                <w:rFonts w:ascii="Liberation Serif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1. Формирование и утверждение перечня объектов, в отношении которых планируется заключение концессионных соглашений и соглашений о ГЧП, 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-частном партнерстве (далее – МЧП), размещение указанного перечня на Инвестиционном портале Свердловской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 w:rsidRPr="00CF098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муниципальным имуществом Администрации Артемовского городского округа </w:t>
            </w:r>
            <w:r w:rsidRPr="00CF098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</w:t>
            </w:r>
            <w:proofErr w:type="spellStart"/>
            <w:r w:rsidRPr="00CF0984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CF0984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01.02.2023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Актуализация сведений по проектам ГЧП (МЧП) в государственной автоматизированной системе «Управление», в том числе по иным формам, предусмотренным пунктом 2 Перечня основных и иных форм государственно-частного партнерства учитываемых при расчете показателя «Уровень развития сферы государственно-частного партнерства в субъекте Российской Федерации», являющегося приложением № 1 к Методике рейтинга ГЧП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отдел экономики, инвестиций и развития Администрации Артемовского городского округа (Кириллова О.С.)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3. Размещение информации о проектах ГЧП на информационном ресурсе «Платформа поддержки инфраструктурных проектов «РОСИНФРА» в сети «Интернет» на сайте https://rosinfra.ru с целью привлечения потенциальных инвесторов для реализации проектов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Ответственный: отдел экономики, инвестиций и развития Администрации Артемовского городского округа (Кириллова О.С.)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4. Обучение сотрудников, участвующих в реализации соглашений о ГЧП (МЧП)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отдел экономики, инвестиций и развития Администрации Артемовского городского округа (Кириллова О.С.),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t xml:space="preserve"> </w:t>
            </w:r>
            <w:r w:rsidRPr="00786DAF">
              <w:rPr>
                <w:rFonts w:ascii="Liberation Serif" w:hAnsi="Liberation Serif" w:cs="Liberation Serif"/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786DAF">
              <w:rPr>
                <w:rFonts w:ascii="Liberation Serif" w:hAnsi="Liberation Serif" w:cs="Liberation Serif"/>
                <w:sz w:val="24"/>
                <w:szCs w:val="24"/>
              </w:rPr>
              <w:t>Угланова</w:t>
            </w:r>
            <w:proofErr w:type="spellEnd"/>
            <w:r w:rsidRPr="00786DAF">
              <w:rPr>
                <w:rFonts w:ascii="Liberation Serif" w:hAnsi="Liberation Serif" w:cs="Liberation Serif"/>
                <w:sz w:val="24"/>
                <w:szCs w:val="24"/>
              </w:rPr>
              <w:t xml:space="preserve"> А.И.)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соответствии с рейтингом Министерства экономического развития Российской Федерации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Б2. Административное давление на бизнес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853" w:type="pct"/>
            <w:vMerge w:val="restar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Б2.4. Удовлетворенность предпринимателей удобством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и понятностью прохождения контрольно-надзорных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F5F28">
              <w:rPr>
                <w:rFonts w:ascii="Liberation Serif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Размещение на официальном сайте Артемовского </w:t>
            </w:r>
            <w:proofErr w:type="spellStart"/>
            <w:proofErr w:type="gram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горо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дского</w:t>
            </w:r>
            <w:proofErr w:type="spellEnd"/>
            <w:proofErr w:type="gram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округа в сети «Интернет» ссылок на ЕПГУ для возможности подачи жалобы на решение контрольно-надзорного органа, действия (бездействие) его должностных лиц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Е.П.), Управление по городскому хозяйству и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жилью Администрации Артемовского городского округа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Угланова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А.И.)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возможность и качество реализации направления документов через порталы надзорных органов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3" w:type="pct"/>
            <w:vMerge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Внесение сведений об осуществлении муниципального контроля в новые разделы портала о контрольно-надзорной деятельности в Свердловской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Е.П.), Управление по городскому хозяйству и жилью Администрации Артемовского городского округа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Угланова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А.И.)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обеспечение удобства и понятности информации о прохождении контрольно-надзорных мероприятий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Б2.6.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Доля организаций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и индивидуальных предпринимателей, подвергнутых контролю и надзору, от общего числа подконтрольных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(процентов)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Включение в публичные обсуждения результатов правоприменительной практики сведений о принятии новых НПА в сфере обязательных требований по муниципальному контролю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Е.П.), Управление по городскому хозяйству и жилью Администрации Артемовского городского округа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Угланова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А.И.)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статистический показатель по мониторингу эффективности внедрения риск-ориентированного подхода, источником данных которого является форма 1-контроль «Сведения об осуществлении государственного контроля (надзора) и муниципального контроля»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Б3. Повышение эффективности работы организационных механизмов поддержки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3" w:type="pct"/>
            <w:vMerge w:val="restar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Б3.2. Эффективность обратной связи и работы канала (каналов) прямой связи инвесторов и руководства субъекта Российской Федерации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предложений субъектов инвестиционной деятельности на заседаниях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Проектного комитета Артемовского городского округа в целях направления для рассмотрения на заседаниях Инвестиционного комитета Свердловской области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 течение 10 рабочих дней с даты принятия к рассмотрению и направления уведомления инициатора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отдел экономики, инвестиций и развития Администрации Артемовского городского округа (Кириллова О.С.)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оперативность реагирования руководства на замечания/предложения в формате поручений ответственным должностным лицам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853" w:type="pct"/>
            <w:vMerge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 рамках проведения коммуникационных мероприятий с бизнесом сбор предложений 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инвесторов по улучшению работы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органов местного самоуправления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для разработки мероприятий по улучшению инвестиционного климата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 w:rsidRPr="00CF0193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Е.П.), Управление по городскому хозяйству и жилью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Угланова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А.И.),</w:t>
            </w:r>
            <w:r w:rsidRPr="00753455"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О.В.), МКУ АГО «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Жилкомстрой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»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Шуклин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А.Ю.)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реализации: постоянно,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удовлетворенность результатом общения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ИНФРАСТРУКТУРА И РЕСУРСЫ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В2. Повышение эффективности процедур постановки земельного участка на кадастровый учет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В2.1. Удовлетворенность процедурой постановки на кадастровый учет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F0193">
              <w:rPr>
                <w:rFonts w:ascii="Liberation Serif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сроков оказания муниципальных услуг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ежеквартально, до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скорость согласования (утверждения) документов для постановки на кадастровый учет 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В2.2. Среднее время прохождения процедуры постановки на кадастровый учет (рабочих дней)</w:t>
            </w:r>
          </w:p>
        </w:tc>
        <w:tc>
          <w:tcPr>
            <w:tcW w:w="2236" w:type="pct"/>
          </w:tcPr>
          <w:p w:rsidR="000D7F39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документов для осуществления учетно-регистрационных действий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органов местного самоуправления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 в электронном виде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время постановки земельного участка на кадастровый учет для респондента – количество рабочих дней от начала процедуры межевания участка до получения подтверждения внесения соответствующих изменений в Единый государственный реестр недвижимости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В2.3. Среднее количество процедур, необходимых для постановки на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кадастровый учет (штук)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 Организация проведения комплексных кадастровых работ в целях вовлечения земельных участков в оборот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Ответственный: Управление архитектуры и градостроительства Администрации Артемовского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t xml:space="preserve"> </w:t>
            </w:r>
            <w:r w:rsidRPr="00CF0193"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CF0193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CF0193">
              <w:rPr>
                <w:rFonts w:ascii="Liberation Serif" w:hAnsi="Liberation Serif" w:cs="Liberation Serif"/>
                <w:sz w:val="24"/>
                <w:szCs w:val="24"/>
              </w:rPr>
              <w:t xml:space="preserve"> Е.П.),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2. Проведение работы с правообладателями по вопросам необходимости уточнения границ земельных участков и оформления прав на недвижимое имущество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Е.П.),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3. Осуществление мероприятий по исправлению ошибок в Едином государственном реестре недвижимости в соответствии с установленным порядком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Е.П.), Управление архитектуры и градостроительства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О.В.)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общее количество процедур для постановки земельного участка на кадастровый учет – количество любых обязательных или обычно происходящих процедур с целью постановки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земельного участка на кадастровый учет.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ПОДДЕРЖКА МАЛОГО ПРЕДПРИНИМАТЕЛЬСТВА</w:t>
            </w:r>
          </w:p>
        </w:tc>
      </w:tr>
      <w:tr w:rsidR="000D7F39" w:rsidRPr="00753455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85" w:type="pct"/>
            <w:gridSpan w:val="3"/>
          </w:tcPr>
          <w:p w:rsidR="000D7F39" w:rsidRPr="00753455" w:rsidRDefault="000D7F39" w:rsidP="00167A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Г3. Повышение эффективности нефинансовой поддержки малого предпринимательства</w:t>
            </w:r>
          </w:p>
        </w:tc>
      </w:tr>
      <w:tr w:rsidR="000D7F39" w:rsidRPr="009106BF" w:rsidTr="00167AB2">
        <w:tc>
          <w:tcPr>
            <w:tcW w:w="215" w:type="pct"/>
          </w:tcPr>
          <w:p w:rsidR="000D7F39" w:rsidRPr="00753455" w:rsidRDefault="000D7F39" w:rsidP="00167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853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Г3.2. Доля заключенных контрактов с субъектами малого предпринимательства (по процедурам конкурсов, аукционов, запросов котировок и запросов предложений, проведенным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нужд, в общей </w:t>
            </w:r>
            <w:proofErr w:type="gram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стоимости</w:t>
            </w:r>
            <w:proofErr w:type="gram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заключенных государственных и муниципальных контрактов в субъекте Российской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 (процентов)</w:t>
            </w:r>
          </w:p>
        </w:tc>
        <w:tc>
          <w:tcPr>
            <w:tcW w:w="2236" w:type="pct"/>
          </w:tcPr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1. Обеспечение увеличения объема привлечения субъектов малого предпринимательства в качестве субподрядчиков при исполнении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контрактов в сфере строительства и ремонта автомобильных дорог, капитального строительства, реконструкции объектов капитального строительства, благоустройства до 75% от цен таких контрактов, заключенных или планируемых к заключению курируемыми учреждениями и предприятиями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МКУ АГО «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Жилкомстрой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»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Шуклин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А.Ю.), 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ТУ п. 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 Губанов А.А.,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ачальник ТУ п.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Красногвардейский Юсупова В.А.,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начальник ТУ с.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Б.Три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фоново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. начальника ТУ с.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Покровское 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Шмурыгин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 И.В., начальник ТУ п. Сосновый Бор Королева Е.А.,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начальник ТУ с.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Мироново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 Серебренников В.В.,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ТУ п. 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Незевай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 Пьянков С.И.,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ТУ с. 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Беспамят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 А.А., начальник ТУ с.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Лебёдкино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Ситников С.Н.,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ТУ с. </w:t>
            </w:r>
            <w:proofErr w:type="spellStart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>Шогринское</w:t>
            </w:r>
            <w:proofErr w:type="spellEnd"/>
            <w:r w:rsidRPr="005E1115">
              <w:rPr>
                <w:rFonts w:ascii="Liberation Serif" w:hAnsi="Liberation Serif" w:cs="Liberation Serif"/>
                <w:sz w:val="24"/>
                <w:szCs w:val="24"/>
              </w:rPr>
              <w:t xml:space="preserve"> Никонова Л.Ф.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2. Рассмотрение возможности расширения практики осуществления закупок 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немонтируемого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оборудования в рамках мероприятий по строительству, реконструкции,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капитальному или текущему ремонту посредством выведения в отдельную закупку поставки такого оборудования с обязательным установлением преимуществ участникам закупок, которыми могут быть только субъекты малого предпринимательства, социально ориентированные некоммерческие организации в случаях, если начальная (максимальная) цена контракта не превышает 20 млн. рублей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муниципальным имуществом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Кинзельская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Е.П.), МКУ АГО «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Жилкомстрой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Шуклин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А.Ю.), 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(Б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агдасарян Н.В.), Управление культуры Администрации Артемовского городского округа 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br/>
              <w:t>(Сахарова Е.Б.), отдел учета и отчетности Администрации Артемовского городского округа (</w:t>
            </w:r>
            <w:proofErr w:type="spell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Собина</w:t>
            </w:r>
            <w:proofErr w:type="spell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Т.А.)</w:t>
            </w:r>
          </w:p>
          <w:p w:rsidR="000D7F39" w:rsidRPr="00753455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Срок реализации: 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.2023</w:t>
            </w:r>
          </w:p>
        </w:tc>
        <w:tc>
          <w:tcPr>
            <w:tcW w:w="1696" w:type="pct"/>
          </w:tcPr>
          <w:p w:rsidR="000D7F39" w:rsidRPr="008A5A67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доля заключенных контрактов с субъектами малого предпринимательства (по процедурам конкурсов, аукционов, запросов котировок, проведенных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 в общей </w:t>
            </w:r>
            <w:proofErr w:type="gramStart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>стоимости</w:t>
            </w:r>
            <w:proofErr w:type="gramEnd"/>
            <w:r w:rsidRPr="00753455">
              <w:rPr>
                <w:rFonts w:ascii="Liberation Serif" w:hAnsi="Liberation Serif" w:cs="Liberation Serif"/>
                <w:sz w:val="24"/>
                <w:szCs w:val="24"/>
              </w:rPr>
              <w:t xml:space="preserve"> заключенных государственных и муниципальных контрактов</w:t>
            </w:r>
          </w:p>
          <w:p w:rsidR="000D7F39" w:rsidRPr="00B7169D" w:rsidRDefault="000D7F39" w:rsidP="00167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D7F39" w:rsidRPr="00D0440F" w:rsidRDefault="000D7F39" w:rsidP="000D7F39">
      <w:pPr>
        <w:rPr>
          <w:rFonts w:ascii="Liberation Serif" w:hAnsi="Liberation Serif"/>
          <w:sz w:val="28"/>
          <w:szCs w:val="28"/>
        </w:rPr>
      </w:pPr>
    </w:p>
    <w:p w:rsidR="000D7F39" w:rsidRDefault="000D7F39" w:rsidP="007A342A">
      <w:pPr>
        <w:spacing w:after="0" w:line="240" w:lineRule="auto"/>
        <w:ind w:right="-1"/>
        <w:jc w:val="both"/>
      </w:pPr>
    </w:p>
    <w:sectPr w:rsidR="000D7F39" w:rsidSect="00393253">
      <w:headerReference w:type="default" r:id="rId9"/>
      <w:pgSz w:w="16838" w:h="11906" w:orient="landscape"/>
      <w:pgMar w:top="1560" w:right="113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1D" w:rsidRDefault="0030221D">
      <w:pPr>
        <w:spacing w:after="0" w:line="240" w:lineRule="auto"/>
      </w:pPr>
      <w:r>
        <w:separator/>
      </w:r>
    </w:p>
  </w:endnote>
  <w:endnote w:type="continuationSeparator" w:id="0">
    <w:p w:rsidR="0030221D" w:rsidRDefault="0030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1D" w:rsidRDefault="0030221D">
      <w:pPr>
        <w:spacing w:after="0" w:line="240" w:lineRule="auto"/>
      </w:pPr>
      <w:r>
        <w:separator/>
      </w:r>
    </w:p>
  </w:footnote>
  <w:footnote w:type="continuationSeparator" w:id="0">
    <w:p w:rsidR="0030221D" w:rsidRDefault="0030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2596"/>
      <w:docPartObj>
        <w:docPartGallery w:val="Page Numbers (Top of Page)"/>
        <w:docPartUnique/>
      </w:docPartObj>
    </w:sdtPr>
    <w:sdtEndPr/>
    <w:sdtContent>
      <w:p w:rsidR="008F4BE7" w:rsidRDefault="008F4B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39">
          <w:rPr>
            <w:noProof/>
          </w:rPr>
          <w:t>2</w:t>
        </w:r>
        <w:r>
          <w:fldChar w:fldCharType="end"/>
        </w:r>
      </w:p>
    </w:sdtContent>
  </w:sdt>
  <w:p w:rsidR="00393253" w:rsidRDefault="003022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0898"/>
      <w:docPartObj>
        <w:docPartGallery w:val="Page Numbers (Top of Page)"/>
        <w:docPartUnique/>
      </w:docPartObj>
    </w:sdtPr>
    <w:sdtEndPr/>
    <w:sdtContent>
      <w:p w:rsidR="006D4C57" w:rsidRDefault="003022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39">
          <w:rPr>
            <w:noProof/>
          </w:rPr>
          <w:t>21</w:t>
        </w:r>
        <w:r>
          <w:fldChar w:fldCharType="end"/>
        </w:r>
      </w:p>
    </w:sdtContent>
  </w:sdt>
  <w:p w:rsidR="006D4C57" w:rsidRDefault="00302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9"/>
    <w:rsid w:val="00093DEE"/>
    <w:rsid w:val="000C594D"/>
    <w:rsid w:val="000D7F39"/>
    <w:rsid w:val="002353BA"/>
    <w:rsid w:val="002F4DC5"/>
    <w:rsid w:val="0030221D"/>
    <w:rsid w:val="00466893"/>
    <w:rsid w:val="005F3AC9"/>
    <w:rsid w:val="007A342A"/>
    <w:rsid w:val="00815575"/>
    <w:rsid w:val="008F4BE7"/>
    <w:rsid w:val="00967DD2"/>
    <w:rsid w:val="009E53C4"/>
    <w:rsid w:val="00A002BA"/>
    <w:rsid w:val="00B42040"/>
    <w:rsid w:val="00CA62D9"/>
    <w:rsid w:val="00E1245F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4861-42DE-447C-98F3-1E14C5E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2A"/>
  </w:style>
  <w:style w:type="paragraph" w:styleId="a5">
    <w:name w:val="Balloon Text"/>
    <w:basedOn w:val="a"/>
    <w:link w:val="a6"/>
    <w:uiPriority w:val="99"/>
    <w:semiHidden/>
    <w:unhideWhenUsed/>
    <w:rsid w:val="000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4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BE7"/>
  </w:style>
  <w:style w:type="table" w:styleId="a9">
    <w:name w:val="Table Grid"/>
    <w:basedOn w:val="a1"/>
    <w:uiPriority w:val="39"/>
    <w:rsid w:val="000D7F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Николаевна Нохрина</cp:lastModifiedBy>
  <cp:revision>2</cp:revision>
  <cp:lastPrinted>2023-02-17T10:15:00Z</cp:lastPrinted>
  <dcterms:created xsi:type="dcterms:W3CDTF">2023-03-03T05:34:00Z</dcterms:created>
  <dcterms:modified xsi:type="dcterms:W3CDTF">2023-03-03T05:34:00Z</dcterms:modified>
</cp:coreProperties>
</file>