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CC" w:rsidRDefault="009954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54CC" w:rsidRDefault="009954CC">
      <w:pPr>
        <w:pStyle w:val="ConsPlusNormal"/>
        <w:jc w:val="both"/>
        <w:outlineLvl w:val="0"/>
      </w:pPr>
    </w:p>
    <w:p w:rsidR="009954CC" w:rsidRDefault="009954CC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9954CC" w:rsidRDefault="009954CC">
      <w:pPr>
        <w:pStyle w:val="ConsPlusTitle"/>
        <w:jc w:val="center"/>
      </w:pPr>
    </w:p>
    <w:p w:rsidR="009954CC" w:rsidRDefault="009954CC">
      <w:pPr>
        <w:pStyle w:val="ConsPlusTitle"/>
        <w:jc w:val="center"/>
      </w:pPr>
      <w:r>
        <w:t>ПОСТАНОВЛЕНИЕ</w:t>
      </w:r>
    </w:p>
    <w:p w:rsidR="009954CC" w:rsidRDefault="009954CC">
      <w:pPr>
        <w:pStyle w:val="ConsPlusTitle"/>
        <w:jc w:val="center"/>
      </w:pPr>
      <w:r>
        <w:t>от 19 августа 2014 г. N 1127-ПА</w:t>
      </w:r>
    </w:p>
    <w:p w:rsidR="009954CC" w:rsidRDefault="009954CC">
      <w:pPr>
        <w:pStyle w:val="ConsPlusTitle"/>
        <w:jc w:val="center"/>
      </w:pPr>
    </w:p>
    <w:p w:rsidR="009954CC" w:rsidRDefault="009954CC">
      <w:pPr>
        <w:pStyle w:val="ConsPlusTitle"/>
        <w:jc w:val="center"/>
      </w:pPr>
      <w:r>
        <w:t>ОБ УТВЕРЖДЕНИИ АДМИНИСТРАТИВНОГО РЕГЛАМЕНТА</w:t>
      </w:r>
    </w:p>
    <w:p w:rsidR="009954CC" w:rsidRDefault="009954CC">
      <w:pPr>
        <w:pStyle w:val="ConsPlusTitle"/>
        <w:jc w:val="center"/>
      </w:pPr>
      <w:r>
        <w:t>ПРЕДОСТАВЛЕНИЯ МУНИЦИПАЛЬНОЙ УСЛУГИ "ПРИНЯТИЕ ДОКУМЕНТОВ,</w:t>
      </w:r>
    </w:p>
    <w:p w:rsidR="009954CC" w:rsidRDefault="009954CC">
      <w:pPr>
        <w:pStyle w:val="ConsPlusTitle"/>
        <w:jc w:val="center"/>
      </w:pPr>
      <w:r>
        <w:t>А ТАКЖЕ ВЫДАЧА РАЗРЕШЕНИЙ О ПЕРЕВОДЕ ИЛИ ОТКАЗЕ В ПЕРЕВОДЕ</w:t>
      </w:r>
    </w:p>
    <w:p w:rsidR="009954CC" w:rsidRDefault="009954CC">
      <w:pPr>
        <w:pStyle w:val="ConsPlusTitle"/>
        <w:jc w:val="center"/>
      </w:pPr>
      <w:r>
        <w:t>ЖИЛОГО ПОМЕЩЕНИЯ В НЕЖИЛОЕ ИЛИ НЕЖИЛОГО ПОМЕЩЕНИЯ</w:t>
      </w:r>
    </w:p>
    <w:p w:rsidR="009954CC" w:rsidRDefault="009954CC">
      <w:pPr>
        <w:pStyle w:val="ConsPlusTitle"/>
        <w:jc w:val="center"/>
      </w:pPr>
      <w:r>
        <w:t>В ЖИЛОЕ ПОМЕЩЕНИЕ НА ТЕРРИТОРИИ</w:t>
      </w:r>
    </w:p>
    <w:p w:rsidR="009954CC" w:rsidRDefault="009954CC">
      <w:pPr>
        <w:pStyle w:val="ConsPlusTitle"/>
        <w:jc w:val="center"/>
      </w:pPr>
      <w:r>
        <w:t>АРТЕМОВСКОГО ГОРОДСКОГО ОКРУГА"</w:t>
      </w:r>
    </w:p>
    <w:p w:rsidR="009954CC" w:rsidRDefault="009954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54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4CC" w:rsidRDefault="00995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4CC" w:rsidRDefault="00995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9954CC" w:rsidRDefault="009954CC">
            <w:pPr>
              <w:pStyle w:val="ConsPlusNormal"/>
              <w:jc w:val="center"/>
            </w:pPr>
            <w:r>
              <w:rPr>
                <w:color w:val="392C69"/>
              </w:rPr>
              <w:t>от 01.07.2016 N 753-ПА)</w:t>
            </w:r>
          </w:p>
        </w:tc>
      </w:tr>
    </w:tbl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6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09.02.2009 </w:t>
      </w:r>
      <w:hyperlink r:id="rId8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25.02.2011 N 170-ПА "Об административных регламентах предоставления муниципальных услуг органами местного самоуправления Артемовского городского округа" (с изменениями, внесенными Постановлением Администрации Артемовского городского округа от 05.02.2013 N 146-ПА), руководствуясь </w:t>
      </w:r>
      <w:hyperlink r:id="rId10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1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Артемовского городского округа" (Приложение).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2. Постановление опубликовать в газете "Артемовский рабочий" и разместить на официальном сайте Артемовского городского округа в информационно-телекоммуникационной сети "Интернет".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3. Контроль за исполнением Постановления оставляю за собой.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right"/>
      </w:pPr>
      <w:r>
        <w:t>Глава Администрации</w:t>
      </w:r>
    </w:p>
    <w:p w:rsidR="009954CC" w:rsidRDefault="009954CC">
      <w:pPr>
        <w:pStyle w:val="ConsPlusNormal"/>
        <w:jc w:val="right"/>
      </w:pPr>
      <w:r>
        <w:t>Артемовского городского округа</w:t>
      </w:r>
    </w:p>
    <w:p w:rsidR="009954CC" w:rsidRDefault="009954CC">
      <w:pPr>
        <w:pStyle w:val="ConsPlusNormal"/>
        <w:jc w:val="right"/>
      </w:pPr>
      <w:r>
        <w:t>Т.А.ПОЗНЯК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right"/>
        <w:outlineLvl w:val="0"/>
      </w:pPr>
      <w:r>
        <w:t>Приложение</w:t>
      </w:r>
    </w:p>
    <w:p w:rsidR="009954CC" w:rsidRDefault="009954CC">
      <w:pPr>
        <w:pStyle w:val="ConsPlusNormal"/>
        <w:jc w:val="right"/>
      </w:pPr>
      <w:r>
        <w:t>к Постановлению Администрации</w:t>
      </w:r>
    </w:p>
    <w:p w:rsidR="009954CC" w:rsidRDefault="009954CC">
      <w:pPr>
        <w:pStyle w:val="ConsPlusNormal"/>
        <w:jc w:val="right"/>
      </w:pPr>
      <w:r>
        <w:t>Артемовского городского округа</w:t>
      </w:r>
    </w:p>
    <w:p w:rsidR="009954CC" w:rsidRDefault="009954CC">
      <w:pPr>
        <w:pStyle w:val="ConsPlusNormal"/>
        <w:jc w:val="right"/>
      </w:pPr>
      <w:r>
        <w:t>от 19 августа 2014 г. N 1127-ПА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9954CC" w:rsidRDefault="009954CC">
      <w:pPr>
        <w:pStyle w:val="ConsPlusTitle"/>
        <w:jc w:val="center"/>
      </w:pPr>
      <w:r>
        <w:t>ПРЕДОСТАВЛЕНИЯ МУНИЦИПАЛЬНОЙ УСЛУГИ "ПРИНЯТИЕ ДОКУМЕНТОВ,</w:t>
      </w:r>
    </w:p>
    <w:p w:rsidR="009954CC" w:rsidRDefault="009954CC">
      <w:pPr>
        <w:pStyle w:val="ConsPlusTitle"/>
        <w:jc w:val="center"/>
      </w:pPr>
      <w:r>
        <w:t>А ТАКЖЕ ВЫДАЧА РАЗРЕШЕНИЙ О ПЕРЕВОДЕ ИЛИ ОТКАЗЕ В ПЕРЕВОДЕ</w:t>
      </w:r>
    </w:p>
    <w:p w:rsidR="009954CC" w:rsidRDefault="009954CC">
      <w:pPr>
        <w:pStyle w:val="ConsPlusTitle"/>
        <w:jc w:val="center"/>
      </w:pPr>
      <w:r>
        <w:t>ЖИЛОГО ПОМЕЩЕНИЯ В НЕЖИЛОЕ ИЛИ НЕЖИЛОГО ПОМЕЩЕНИЯ</w:t>
      </w:r>
    </w:p>
    <w:p w:rsidR="009954CC" w:rsidRDefault="009954CC">
      <w:pPr>
        <w:pStyle w:val="ConsPlusTitle"/>
        <w:jc w:val="center"/>
      </w:pPr>
      <w:r>
        <w:t>В ЖИЛОЕ ПОМЕЩЕНИЕ НА ТЕРРИТОРИИ</w:t>
      </w:r>
    </w:p>
    <w:p w:rsidR="009954CC" w:rsidRDefault="009954CC">
      <w:pPr>
        <w:pStyle w:val="ConsPlusTitle"/>
        <w:jc w:val="center"/>
      </w:pPr>
      <w:r>
        <w:t>АРТЕМОВСКОГО ГОРОДСКОГО ОКРУГА"</w:t>
      </w:r>
    </w:p>
    <w:p w:rsidR="009954CC" w:rsidRDefault="009954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954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54CC" w:rsidRDefault="009954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4CC" w:rsidRDefault="009954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9954CC" w:rsidRDefault="009954CC">
            <w:pPr>
              <w:pStyle w:val="ConsPlusNormal"/>
              <w:jc w:val="center"/>
            </w:pPr>
            <w:r>
              <w:rPr>
                <w:color w:val="392C69"/>
              </w:rPr>
              <w:t>от 01.07.2016 N 753-ПА)</w:t>
            </w:r>
          </w:p>
        </w:tc>
      </w:tr>
    </w:tbl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center"/>
        <w:outlineLvl w:val="1"/>
      </w:pPr>
      <w:r>
        <w:t>Раздел 1. ОБЩИЕ ПОЛОЖЕНИЯ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ind w:firstLine="540"/>
        <w:jc w:val="both"/>
      </w:pPr>
      <w:r>
        <w:t>1. Административный регламент (далее - Регламент) предоставления муниципальной услуги "Принятие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Артемовского городского округа" (далее - муниципальная услуга)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2. Предоставление муниципальной услуги регулируют следующие нормативные акты: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 xml:space="preserve">1)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2)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3) Градостроительный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Устав</w:t>
        </w:r>
      </w:hyperlink>
      <w:r>
        <w:t xml:space="preserve"> Артемовского городского округа, утвержденный Решением Артемовской Думы от 16 июня 2005 года N 530 (с изменениями);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Решение</w:t>
        </w:r>
      </w:hyperlink>
      <w:r>
        <w:t xml:space="preserve"> Думы Артемовского городского округа от 25 июня 2009 года N 628 "О принятии Положения о порядке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на территории Артемовского городского округа" (с изменениями, внесенными Решениями Думы Артемовского городского округа от 24.12.2009 N 733, от 28.10.2010 N 943).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1" w:name="P54"/>
      <w:bookmarkEnd w:id="1"/>
      <w:r>
        <w:t xml:space="preserve">3. Заявителями, обращающимися за предоставлением муниципальной услуги, являются физические и (или) юридические лица, их представители, действующие на основании доверенности, оформленной в соответствии с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заявители), являющиеся собственниками помещения.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4. Информацию о предоставлении муниципальной услуги, в том числе о ходе ее предоставления, заявитель может получить: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непосредственно у специалистов Комитета по архитектуре и градостроительству Артемовского городского округа (далее - специалисты Комитета) (адрес: Свердловская область, город Артемовский, улица Ленина, 19) в рабочее время: понедельник - пятница с 08:00 до 17:00 часов, перерыв с 13:00 до 14:00 часов, телефон (34363) 24268, e-mail: kag.ago@yandex.ru;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на официальном сайте Артемовского городского округа в информационно-телекоммуникационной сети "Интернет": http://www.artemovsky66.ru, в разделе "Муниципальные услуги";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на информационном стенде, расположенном в помещении, занимаемом Комитетом по архитектуре и градостроительству Артемовского городского округа, по адресу: Свердловская область, г. Артемовский, ул. Ленина, 19, второй этаж;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4) на Едином портале государственных и муниципальных услуг (функций) (http://www.gosuslugi.ru/)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5) в многофункциональном центре предоставления государственных и муниципальных услуг (далее - МФЦ).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5. На официальном сайте Артемовского городского округа размещается следующая информация: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сведения о местонахождении, график работы, контактные телефоны, адреса электронной почты Комитета по архитектуре и градостроительству Артемовского городского округа;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2) текст настоящего Регламента с </w:t>
      </w:r>
      <w:hyperlink w:anchor="P271" w:history="1">
        <w:r>
          <w:rPr>
            <w:color w:val="0000FF"/>
          </w:rPr>
          <w:t>приложениями</w:t>
        </w:r>
      </w:hyperlink>
      <w:r>
        <w:t>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6. На информационном стенде размещается следующая информация: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2) извлечения из текста настоящего административного регламента с </w:t>
      </w:r>
      <w:hyperlink w:anchor="P271" w:history="1">
        <w:r>
          <w:rPr>
            <w:color w:val="0000FF"/>
          </w:rPr>
          <w:t>приложениями</w:t>
        </w:r>
      </w:hyperlink>
      <w:r>
        <w:t>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краткое описание порядка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5) образцы оформления документов, необходимых для получения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6) месторасположение, номера телефонов, адреса сайтов в сети "Интернет"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7) график приема граждан;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8) порядок получения консультаций (справок), информации о ходе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7.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о сроках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8. Консультирование граждан по вопросам предоставления муниципальной услуги осуществляется в устной и письменной форме.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Специалисты Комитета предоставляют заявителям следующую информацию: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о времени приема и выдачи документов;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5) о сроках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7) о ходе предоставления муниципальной услуги (для заявителей, подавших заявление и документы в Комитет по архитектуре и градостроительству Артемовского городского округа).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9. Предоставление муниципальной услуги осуществляется на бесплатной основе.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center"/>
        <w:outlineLvl w:val="1"/>
      </w:pPr>
      <w:r>
        <w:t>Раздел 2. СТАНДАРТ ПРЕДОСТАВЛЕНИЯ МУНИЦИПАЛЬНОЙ УСЛУГИ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ind w:firstLine="540"/>
        <w:jc w:val="both"/>
      </w:pPr>
      <w:r>
        <w:t>10. Наименование муниципальной услуги - "Принятие документов, а также выдача разрешений о переводе или отказе в переводе жилого помещения в нежилое или нежилого помещения в жилое помещение на территории Артемовского городского округа".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11. Предоставление муниципальной услуги осуществляет Комитет по архитектуре и градостроительству Артемовского городского округа (далее - Комитет).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12. 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Управление Федеральной службы государственной регистрации, кадастра и картографии по Свердловской области (Управление Росреестра);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Росреестра" по Свердловской области);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Межрайонная инспекция Федеральной налоговой службы России N 23 по Свердловской области.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13. Результат предоставления муниципальной услуги: принятие решения о переводе или об отказе в переводе жилых (нежилых) помещений в нежилые (жилые) помещения и выдача уведомления о переводе или об отказе в переводе жилых (нежилых) помещений в нежилые (жилые) помещения (далее - уведомление о переводе (об отказе в переводе)).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14. Общий срок предоставления муниципальной услуги составляет не более 45 дней с момента поступления заявления о переустройстве и (или) перепланировке жилого помещения и прилагаемых к нему документов.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В случае подачи заявления в МФЦ срок исчисляется со дня регистрации в МФЦ.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15. Перечень документов, необходимый для предоставления муниципальной услуги: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2" w:name="P105"/>
      <w:bookmarkEnd w:id="2"/>
      <w: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3" w:name="P106"/>
      <w:bookmarkEnd w:id="3"/>
      <w:r>
        <w:t>2) свидетельство о государственной регистрации юридического лица (для юридических лиц) или выписка из Единого государственного реестра юридических лиц, являющегося заявителем;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4" w:name="P107"/>
      <w:bookmarkEnd w:id="4"/>
      <w: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правоустанавливающие документы на переводимое помещение (подлинники или засвидетельствованные в нотариальном порядке копии):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5" w:name="P109"/>
      <w:bookmarkEnd w:id="5"/>
      <w:r>
        <w:t>4.1) выписка из Единого государственного реестра прав на недвижимое имущество и сделок с ним о правах на переводимое помещение (в случае если права на него зарегистрированы в Едином государственном реестре прав на недвижимое имущество и сделок с ним (далее - ЕГРП)), или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6" w:name="P110"/>
      <w:bookmarkEnd w:id="6"/>
      <w:r>
        <w:t>4.2) документы, удостоверяющие (устанавливающие) права на переводимое помещение (в случае, если права на него в соответствии с законодательством Российской Федерации признаются возникшими независимо от регистрации в ЕГРП);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7" w:name="P111"/>
      <w:bookmarkEnd w:id="7"/>
      <w:r>
        <w:t>5)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8" w:name="P112"/>
      <w:bookmarkEnd w:id="8"/>
      <w:r>
        <w:t>6) поэтажный план дома, в котором находится переводимое помещение;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9" w:name="P113"/>
      <w:bookmarkEnd w:id="9"/>
      <w:r>
        <w:t>7)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10" w:name="P114"/>
      <w:bookmarkEnd w:id="10"/>
      <w:r>
        <w:t xml:space="preserve">16. Для предоставления муниципальной услуги заявителю необходимо предоставить в Комитет или МФЦ </w:t>
      </w:r>
      <w:hyperlink w:anchor="P271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 и документы, указанные в </w:t>
      </w:r>
      <w:hyperlink w:anchor="P10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7" w:history="1">
        <w:r>
          <w:rPr>
            <w:color w:val="0000FF"/>
          </w:rPr>
          <w:t>3</w:t>
        </w:r>
      </w:hyperlink>
      <w:r>
        <w:t xml:space="preserve">, </w:t>
      </w:r>
      <w:hyperlink w:anchor="P110" w:history="1">
        <w:r>
          <w:rPr>
            <w:color w:val="0000FF"/>
          </w:rPr>
          <w:t>4.2</w:t>
        </w:r>
      </w:hyperlink>
      <w:r>
        <w:t xml:space="preserve">, </w:t>
      </w:r>
      <w:hyperlink w:anchor="P113" w:history="1">
        <w:r>
          <w:rPr>
            <w:color w:val="0000FF"/>
          </w:rPr>
          <w:t>7 пункта 15</w:t>
        </w:r>
      </w:hyperlink>
      <w:r>
        <w:t xml:space="preserve"> настоящего Регламента.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Документы, необходимые для предоставления муниципальной услуги, указанные в </w:t>
      </w:r>
      <w:hyperlink w:anchor="P10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09" w:history="1">
        <w:r>
          <w:rPr>
            <w:color w:val="0000FF"/>
          </w:rPr>
          <w:t>4.1</w:t>
        </w:r>
      </w:hyperlink>
      <w:r>
        <w:t xml:space="preserve">, </w:t>
      </w:r>
      <w:hyperlink w:anchor="P111" w:history="1">
        <w:r>
          <w:rPr>
            <w:color w:val="0000FF"/>
          </w:rPr>
          <w:t>5</w:t>
        </w:r>
      </w:hyperlink>
      <w:r>
        <w:t xml:space="preserve">, </w:t>
      </w:r>
      <w:hyperlink w:anchor="P112" w:history="1">
        <w:r>
          <w:rPr>
            <w:color w:val="0000FF"/>
          </w:rPr>
          <w:t>6 пункта 15</w:t>
        </w:r>
      </w:hyperlink>
      <w:r>
        <w:t xml:space="preserve"> настоящего Регламента, запрашиваются Комитетом по архитектуре и градостроительству в государственных органах (подведомственных им организациях), в распоряжении которых находятся указанные документы либо сведения.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17. Запрещается требовать от заявителя: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18. Заявитель вправе представить указанные в </w:t>
      </w:r>
      <w:hyperlink w:anchor="P10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09" w:history="1">
        <w:r>
          <w:rPr>
            <w:color w:val="0000FF"/>
          </w:rPr>
          <w:t>4.1</w:t>
        </w:r>
      </w:hyperlink>
      <w:r>
        <w:t xml:space="preserve">, </w:t>
      </w:r>
      <w:hyperlink w:anchor="P111" w:history="1">
        <w:r>
          <w:rPr>
            <w:color w:val="0000FF"/>
          </w:rPr>
          <w:t>5</w:t>
        </w:r>
      </w:hyperlink>
      <w:r>
        <w:t xml:space="preserve">, </w:t>
      </w:r>
      <w:hyperlink w:anchor="P112" w:history="1">
        <w:r>
          <w:rPr>
            <w:color w:val="0000FF"/>
          </w:rPr>
          <w:t>6 пункта 15</w:t>
        </w:r>
      </w:hyperlink>
      <w:r>
        <w:t xml:space="preserve"> настоящего Регламента документы при подаче заявления по собственной инициативе.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Документы предоставляются в оригиналах и копиях либо в нотариально заверенных копиях.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В случае предоставления документов в оригиналах и копиях специалист Комитета по архитектуре и градостроительству заверяет сверенные с оригиналами копии документов, подлинники документов возвращаются заявителю.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11" w:name="P122"/>
      <w:bookmarkEnd w:id="11"/>
      <w:r>
        <w:t>19. Требования к документам: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текст документов должен быть написан разборчиво;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фамилии, имена и отчества должны соответствовать документам, удостоверяющим личность;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не должно быть подчисток, приписок, зачеркнутых слов и иных исправлений;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документы не должны быть исполнены карандашом;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20. Оснований для отказа в приеме документов, необходимых для предоставления муниципальной услуги, не предусмотрено.</w:t>
      </w:r>
    </w:p>
    <w:p w:rsidR="009954CC" w:rsidRDefault="009954CC">
      <w:pPr>
        <w:pStyle w:val="ConsPlusNormal"/>
        <w:spacing w:before="280"/>
        <w:ind w:firstLine="540"/>
        <w:jc w:val="both"/>
      </w:pPr>
      <w:bookmarkStart w:id="12" w:name="P129"/>
      <w:bookmarkEnd w:id="12"/>
      <w:r>
        <w:t>21. Основаниями для отказа в предоставлении муниципальной услуги являются: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1) обращение за предоставлением муниципальной услуги лица, не указанного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Регламента;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2) непредставление определенных </w:t>
      </w:r>
      <w:hyperlink w:anchor="P105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07" w:history="1">
        <w:r>
          <w:rPr>
            <w:color w:val="0000FF"/>
          </w:rPr>
          <w:t>3</w:t>
        </w:r>
      </w:hyperlink>
      <w:r>
        <w:t xml:space="preserve">, </w:t>
      </w:r>
      <w:hyperlink w:anchor="P110" w:history="1">
        <w:r>
          <w:rPr>
            <w:color w:val="0000FF"/>
          </w:rPr>
          <w:t>4.2</w:t>
        </w:r>
      </w:hyperlink>
      <w:r>
        <w:t xml:space="preserve">, </w:t>
      </w:r>
      <w:hyperlink w:anchor="P113" w:history="1">
        <w:r>
          <w:rPr>
            <w:color w:val="0000FF"/>
          </w:rPr>
          <w:t>7 пункта 15</w:t>
        </w:r>
      </w:hyperlink>
      <w:r>
        <w:t xml:space="preserve"> настоящего Регламента документов, обязанность по представлению которых возложена на заявителя;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3) поступление в Комитет ответа органа государственной власти или подведомственной ему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 в соответствии с </w:t>
      </w:r>
      <w:hyperlink w:anchor="P106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109" w:history="1">
        <w:r>
          <w:rPr>
            <w:color w:val="0000FF"/>
          </w:rPr>
          <w:t>4.1</w:t>
        </w:r>
      </w:hyperlink>
      <w:r>
        <w:t xml:space="preserve">, </w:t>
      </w:r>
      <w:hyperlink w:anchor="P111" w:history="1">
        <w:r>
          <w:rPr>
            <w:color w:val="0000FF"/>
          </w:rPr>
          <w:t>5</w:t>
        </w:r>
      </w:hyperlink>
      <w:r>
        <w:t xml:space="preserve">, </w:t>
      </w:r>
      <w:hyperlink w:anchor="P112" w:history="1">
        <w:r>
          <w:rPr>
            <w:color w:val="0000FF"/>
          </w:rPr>
          <w:t>6 пункта 15</w:t>
        </w:r>
      </w:hyperlink>
      <w:r>
        <w:t xml:space="preserve"> настоящего Регламента. Отказ в предоставлении муниципальной услуги по указанному основанию допускается в случае, если Комитет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предоставления муниципальной услуги,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выявление недостоверной информации в представленных заявителем документах либо истечение срока их действия;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5) поступление заявления и документов, не соответствующих требованиям действующего законодательства, </w:t>
      </w:r>
      <w:hyperlink w:anchor="P122" w:history="1">
        <w:r>
          <w:rPr>
            <w:color w:val="0000FF"/>
          </w:rPr>
          <w:t>пункта 19</w:t>
        </w:r>
      </w:hyperlink>
      <w:r>
        <w:t xml:space="preserve"> настоящего Регламента;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6) несоблюдение предусмотренных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условий перевода помещения;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7) несоответствие проекта переустройства и (или) перепланировки жилого помещения требованиям действующего законодательства.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22. Максимальный срок ожидания в очереди при подаче заявителем заявления и при получении результата предоставления муниципальной услуги составляет 15 минут.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Комитет либо в МФЦ (в случае если заявление на </w:t>
      </w:r>
      <w:r>
        <w:lastRenderedPageBreak/>
        <w:t>предоставление муниципальной услуги подается через МФЦ).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23. Здание, в котором предоставляется муниципальная услуга (Свердловская область, г. Артемовский, ул. Ленина, 19) располагается с учетом пешеходной доступности (не более 10 минут пешком) для заявителей от остановки общественного транспорта (остановка "Молодежи").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24.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25. Вход в помещения Комитета оснащается информационной табличкой (вывеской), содержащей информацию о наименовании органа местного самоуправления, предоставляющего услугу.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Рядом со служебными кабинетами специалистов Комитета размещаются вывески с указанием фамилий, имен, отчеств и должностей специалистов, приемных дней и времени приема.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25.1.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9954CC" w:rsidRDefault="009954CC">
      <w:pPr>
        <w:pStyle w:val="ConsPlusNormal"/>
        <w:jc w:val="both"/>
      </w:pPr>
      <w:r>
        <w:t xml:space="preserve">(п. 25.1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26. Места для информирования заявителей, получения информации и заполнения необходимых документов оборудованы информационным стендом (с образцами заполнения заявления и перечнем документов, необходимых для предоставления муниципальной услуги), столами и стульями.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27.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28. Показателями доступности муниципальной услуги являются: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транспортная доступность к местам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обеспечение возможности направления запроса в электронной форме;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получение услуги заявителем посредством МФЦ;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5) обеспечение беспрепятственного доступа лиц с ограниченными возможностями в помещение, в котором предоставляется услуга.</w:t>
      </w:r>
    </w:p>
    <w:p w:rsidR="009954CC" w:rsidRDefault="009954CC">
      <w:pPr>
        <w:pStyle w:val="ConsPlusNormal"/>
        <w:jc w:val="both"/>
      </w:pPr>
      <w:r>
        <w:t xml:space="preserve">(подп. 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01.07.2016 N 753-ПА)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29. Показателями качества предоставления муниципальной услуги являются: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соблюдение срока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соблюдение порядка выполнения административных процедур;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отсутствие поданных в установленном порядке жалоб на действия (бездействие) должностных лиц, муниципальных служащих, осуществленные в ходе предоставления муниципальной услуги.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30.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через Государственное бюджетное учреждение Свердловской области "Многофункциональный центр предоставления государственных (муниципальных) услуг", либо через его территориальное подразделение по принципу "одного окна".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center"/>
        <w:outlineLvl w:val="1"/>
      </w:pPr>
      <w:r>
        <w:t>Раздел 3. СОСТАВ, ПОСЛЕДОВАТЕЛЬНОСТЬ И</w:t>
      </w:r>
    </w:p>
    <w:p w:rsidR="009954CC" w:rsidRDefault="009954CC">
      <w:pPr>
        <w:pStyle w:val="ConsPlusNormal"/>
        <w:jc w:val="center"/>
      </w:pPr>
      <w:r>
        <w:t>СРОКИ ВЫПОЛНЕНИЯ АДМИНИСТРАТИВНЫХ ПРОЦЕДУР,</w:t>
      </w:r>
    </w:p>
    <w:p w:rsidR="009954CC" w:rsidRDefault="009954CC">
      <w:pPr>
        <w:pStyle w:val="ConsPlusNormal"/>
        <w:jc w:val="center"/>
      </w:pPr>
      <w:r>
        <w:t>ТРЕБОВАНИЯ К ПОРЯДКУ ИХ ВЫПОЛНЕНИЯ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ind w:firstLine="540"/>
        <w:jc w:val="both"/>
      </w:pPr>
      <w:r>
        <w:t>31. Предоставление муниципальной услуги состоит из следующих последовательных административных процедур: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прием и регистрация заявления и прилагаемых к нему документов - 1 день;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рассмотрение заявления и прилагаемых к нему документов - 23 дня;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3) принятие решения о переводе или об отказе в переводе жилого (нежилого) помещения в нежилое (жилое) помещение и выдача уведомления о переводе жилого (нежилого) помещения в нежилое (жилое) помещение - 21 день.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32. </w:t>
      </w:r>
      <w:hyperlink w:anchor="P391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приведена в Приложении N 3 к Регламенту.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33. Основанием для начала процедуры приема и регистрации заявления и прилагаемых к нему документов является их поступление в Комитет.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Документы, принятые в МФЦ, не позднее следующего рабочего дня после приема и регистрации передаются в Комитет.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Специалист Комитета, ответственный за прием и регистрацию заявлений, осуществляет следующие административные действия: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принимает заявление и прилагаемые к нему документы, заверяет копии представленных документов, сопоставляя их с оригиналами: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по просьбе заявителя, на его экземпляре заявления ставит отметку о приеме;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регистрирует принятое заявление в Журнале регистрации входящей корреспонденции.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Результатом приема заявления и прилагаемых к нему документов является их передача на рассмотрение специалисту Комитета, ответственному за рассмотрение заявления и прилагаемых к нему документов (далее - специалист).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34. Основанием для рассмотрения заявления и прилагаемых к нему документов является их поступление к специалисту. Специалист осуществляет следующие административные действия: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а) проводит проверку заявления и экспертизу прилагаемых к нему документов на соответствие требованиям действующего законодательства и </w:t>
      </w:r>
      <w:hyperlink w:anchor="P114" w:history="1">
        <w:r>
          <w:rPr>
            <w:color w:val="0000FF"/>
          </w:rPr>
          <w:t>пунктов 16</w:t>
        </w:r>
      </w:hyperlink>
      <w:r>
        <w:t xml:space="preserve">, </w:t>
      </w:r>
      <w:hyperlink w:anchor="P122" w:history="1">
        <w:r>
          <w:rPr>
            <w:color w:val="0000FF"/>
          </w:rPr>
          <w:t>19</w:t>
        </w:r>
      </w:hyperlink>
      <w:r>
        <w:t xml:space="preserve"> настоящего Регламента;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б) оценивает на основании заявления и прилагаемых к нему документов наличие (отсутствие) права заявителя на выдачу разрешения о переводе жилого (нежилого) помещения в нежилое (жилое) помещение - в течение 10 дней;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 xml:space="preserve">в) в случае отсутствия в Комитете документов, необходимых для предоставления муниципальной услуги, осуществляет подготовку и направление в государственные органы (подведомственные им организации) запросов о предоставлении документов, необходимых для предоставления муниципальной услуги и указанных в </w:t>
      </w:r>
      <w:hyperlink w:anchor="P10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09" w:history="1">
        <w:r>
          <w:rPr>
            <w:color w:val="0000FF"/>
          </w:rPr>
          <w:t>4.1</w:t>
        </w:r>
      </w:hyperlink>
      <w:r>
        <w:t xml:space="preserve">, </w:t>
      </w:r>
      <w:hyperlink w:anchor="P111" w:history="1">
        <w:r>
          <w:rPr>
            <w:color w:val="0000FF"/>
          </w:rPr>
          <w:t>5</w:t>
        </w:r>
      </w:hyperlink>
      <w:r>
        <w:t xml:space="preserve">, </w:t>
      </w:r>
      <w:hyperlink w:anchor="P112" w:history="1">
        <w:r>
          <w:rPr>
            <w:color w:val="0000FF"/>
          </w:rPr>
          <w:t>6 пункта 15</w:t>
        </w:r>
      </w:hyperlink>
      <w:r>
        <w:t xml:space="preserve"> настоящего Регламента, - в течение 3 рабочих дней;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г) при наличии оснований для отказа в предоставлении муниципальной услуги, установленных </w:t>
      </w:r>
      <w:hyperlink w:anchor="P129" w:history="1">
        <w:r>
          <w:rPr>
            <w:color w:val="0000FF"/>
          </w:rPr>
          <w:t>пунктом 21</w:t>
        </w:r>
      </w:hyperlink>
      <w:r>
        <w:t xml:space="preserve"> настоящего Регламента, осуществляет подготовку проекта уведомления об отказе в переводе жилого (нежилого) помещения в нежилое (жилое) помещение - в течение 5 рабочих дней;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д) 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уведомления о переводе жилого (нежилого) помещения в нежилое (жилое) помещение - в течение 5 рабочих дней.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Результатом рассмотрения заявления и прилагаемых к нему документов является передача проекта уведомления о переводе или об отказе в переводе жилого (нежилого) помещения в нежилое (жилое) помещение и проекта уведомления о переводе (об отказе в переводе) на подпись председателю Комитета.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35. Основанием для принятия решения о переводе или об отказе в переводе жилого (нежилого) помещения в нежилое (жилое) помещение является поступление председателю Комитета на подпись проекта уведомления о переводе или об отказе в переводе жилого (нежилого) помещения в нежилое (жилое) помещение.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Председатель Комитета осуществляет следующие административные действия: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рассматривает подготовленный проект уведомления о переводе или об отказе в переводе жилого (нежилого) помещения в нежилое (жилое) помещение;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в случае согласия с подготовленным содержанием проекта уведомления о переводе или об отказе в переводе жилого (нежилого) помещения в нежилое (жилое) помещение, подписывает их и передает специалисту для регистрации и выдачи заявителю - в трехдневный срок.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Результатом предоставления муниципальной услуги является принятие решения о переводе или об отказе в переводе жилого (нежилого) помещения в нежилое (жилое) помещение (Приложение N 2) и выдача </w:t>
      </w:r>
      <w:hyperlink w:anchor="P322" w:history="1">
        <w:r>
          <w:rPr>
            <w:color w:val="0000FF"/>
          </w:rPr>
          <w:t>уведомления</w:t>
        </w:r>
      </w:hyperlink>
      <w:r>
        <w:t xml:space="preserve"> о переводе или об отказе в переводе жилого (нежилого) помещения в нежилое </w:t>
      </w:r>
      <w:r>
        <w:lastRenderedPageBreak/>
        <w:t>(жилое) помещение заявителю.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Уведомление о переводе или об отказе в переводе жилого (нежилого) помещения в нежилое (жилое) помещение выдается (направляется) заявителю в срок не позднее чем через три рабочих дня со дня принятия решения о переводе или об отказе в переводе жилого (нежилого) помещения в нежилое (жилое) помещение.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При получении муниципальной услуги через МФЦ выдачу заявителю (его представителю) результата предоставления муниципальной услуги осуществляет специалист МФЦ. Основанием для начала административного действия "Выдача заявителю результата предоставления муниципальной услуги" в МФЦ является получение из Комитета для последующей выдачи заявителю уведомления о переводе или об отказе в переводе жилого (нежилого) помещения в нежилое (жилое) помещение.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Комитет передает в МФЦ результат предоставления услуги не позднее рабочего дня, следующего за днем оформления результата предоставления муниципальной услуги.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center"/>
        <w:outlineLvl w:val="1"/>
      </w:pPr>
      <w:r>
        <w:t>Раздел 4. ФОРМЫ КОНТРОЛЯ ЗА ИСПОЛНЕНИЕМ</w:t>
      </w:r>
    </w:p>
    <w:p w:rsidR="009954CC" w:rsidRDefault="009954CC">
      <w:pPr>
        <w:pStyle w:val="ConsPlusNormal"/>
        <w:jc w:val="center"/>
      </w:pPr>
      <w:r>
        <w:t>АДМИНИСТРАТИВНОГО РЕГЛАМЕНТА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ind w:firstLine="540"/>
        <w:jc w:val="both"/>
      </w:pPr>
      <w:r>
        <w:t>36. Текущий контроль за полнотой и качеством предоставления муниципальной услуги (далее - текущий контроль) осуществляется председателем Комитета по архитектуре и градостроительству Артемовского городского округа (далее - председатель Комитета).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Текущий контроль осуществляется путем проведения проверок исполнения специалистами Комитета положений Регламента, нормативных правовых актов Российской Федерации и Свердловской области, муниципальных правовых актов Артемовского городского округа.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37. Периодичность осуществления текущего контроля устанавливается председателем Комитета, но не реже одного раза в год.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38. Проведение проверок может носить плановый характер (осуществляться на основании годовых или полугодовых планов работы Комитета) либо внеплановый характер (в связи с конкретным обращением заявителя).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39.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40. Результаты проверки оформляются в виде акта, в котором отмечаются выявленные недостатки и предложения по их устранению.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41. По результатам текущего контроля, при выявлении допущенных нарушений, председатель Комитета принимает меры для их устранения, а также готовит предложения о применении дисциплинарных взысканий к специалистам.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42. Специалисты несут персональную ответственность за: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полноту и правильность оформления результата предоставления (отказа в предоставлении)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Текущий контроль за соблюдением работником МФЦ последовательности действий, определенных административными процедурами, выполняемых специалистами МФЦ в рамках настоящего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43. Муниципальный служащий, допустивший нарушение Регламента, подлежит привлечению к дисциплинарной ответственности в соответствии с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Федерации".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center"/>
        <w:outlineLvl w:val="1"/>
      </w:pPr>
      <w:r>
        <w:t>Раздел 5. ДОСУДЕБНЫЙ (ВНЕСУДЕБНЫЙ) ПОРЯДОК ОБЖАЛОВАНИЯ</w:t>
      </w:r>
    </w:p>
    <w:p w:rsidR="009954CC" w:rsidRDefault="009954CC">
      <w:pPr>
        <w:pStyle w:val="ConsPlusNormal"/>
        <w:jc w:val="center"/>
      </w:pPr>
      <w:r>
        <w:t>РЕШЕНИЙ И ДЕЙСТВИЙ (БЕЗДЕЙСТВИЯ) КОМИТЕТА, ПРЕДОСТАВЛЯЮЩЕГО</w:t>
      </w:r>
    </w:p>
    <w:p w:rsidR="009954CC" w:rsidRDefault="009954CC">
      <w:pPr>
        <w:pStyle w:val="ConsPlusNormal"/>
        <w:jc w:val="center"/>
      </w:pPr>
      <w:r>
        <w:t>МУНИЦИПАЛЬНУЮ УСЛУГУ, МУНИЦИПАЛЬНЫХ СЛУЖАЩИХ,</w:t>
      </w:r>
    </w:p>
    <w:p w:rsidR="009954CC" w:rsidRDefault="009954CC">
      <w:pPr>
        <w:pStyle w:val="ConsPlusNormal"/>
        <w:jc w:val="center"/>
      </w:pPr>
      <w:r>
        <w:t>УЧАСТВУЮЩИХ В ПРЕДОСТАВЛЕНИИ МУНИЦИПАЛЬНОЙ УСЛУГИ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ind w:firstLine="540"/>
        <w:jc w:val="both"/>
      </w:pPr>
      <w:r>
        <w:t>44. Заявитель имеет право на обжалование действий (бездействия) Комитета,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2) нарушение срока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 для предоставления муниципальной услуги;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 для предоставления муниципальной услуги, у заявителя;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 и Регламентом;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45. Жалоба подается в письменной форме на бумажном носителе, в электронной форме в Комитет.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Жалоба на решение, принятое председателем Комитета, подается главе Администрации Артемовского городского округа.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46. Жалоба может быть направлена: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 xml:space="preserve">47. Жалоба, адресованная председателю Комитета, может быть </w:t>
      </w:r>
      <w:r>
        <w:lastRenderedPageBreak/>
        <w:t>направлена почтой, передана лично по адресу: 623780, Свердловская область, г. Артемовский, ул. Ленина, 19, по электронной почте: kag.ago@yandex.ru.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Жалоба, адресованная главе Администрации Артемовского городского округа, может быть направлена почтой, передана лично по адресу: 623780, Свердловская область, г. Артемовский, пл. Советов, 3, на официальный сайт Артемовского городского округа в информационно-телекоммуникационной сети "Интернет": http://artemovsky66.ru, в раздел "Электронная приемная";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Запись на личный прием к главе Администрации Артемовского городского округа осуществляется по телефону: (34363) 2-41-51.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48. Жалоба должна содержать: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49. Заявитель имеет право на получение информации и документов, необходимых для обоснования и рассмотрения жалобы.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50.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lastRenderedPageBreak/>
        <w:t>51. По результатам рассмотрения жалобы на действия (бездействие) и решения, принимаемые в ходе предоставления муниципальной услуги, председатель Комитета принимает одно из следующих решений: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отказать в удовлетворении жалобы.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52.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53. Ответ на жалобу не предоставляется в следующих случаях: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1) если 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2) если текст письменной жалобы не поддается прочтению.</w:t>
      </w:r>
    </w:p>
    <w:p w:rsidR="009954CC" w:rsidRDefault="009954CC">
      <w:pPr>
        <w:pStyle w:val="ConsPlusNormal"/>
        <w:spacing w:before="280"/>
        <w:ind w:firstLine="540"/>
        <w:jc w:val="both"/>
      </w:pPr>
      <w:r>
        <w:t>54.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незамедлительно направляет имеющиеся материалы в органы прокуратуры.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right"/>
        <w:outlineLvl w:val="1"/>
      </w:pPr>
      <w:r>
        <w:t>Приложение N 1</w:t>
      </w:r>
    </w:p>
    <w:p w:rsidR="009954CC" w:rsidRDefault="009954CC">
      <w:pPr>
        <w:pStyle w:val="ConsPlusNormal"/>
        <w:jc w:val="right"/>
      </w:pPr>
      <w:r>
        <w:t>к Административному регламенту</w:t>
      </w:r>
    </w:p>
    <w:p w:rsidR="009954CC" w:rsidRDefault="009954CC">
      <w:pPr>
        <w:pStyle w:val="ConsPlusNormal"/>
        <w:jc w:val="right"/>
      </w:pPr>
      <w:r>
        <w:t>предоставления муниципальной услуги</w:t>
      </w:r>
    </w:p>
    <w:p w:rsidR="009954CC" w:rsidRDefault="009954CC">
      <w:pPr>
        <w:pStyle w:val="ConsPlusNormal"/>
        <w:jc w:val="right"/>
      </w:pPr>
      <w:r>
        <w:t>"Принятие документов, а также выдача</w:t>
      </w:r>
    </w:p>
    <w:p w:rsidR="009954CC" w:rsidRDefault="009954CC">
      <w:pPr>
        <w:pStyle w:val="ConsPlusNormal"/>
        <w:jc w:val="right"/>
      </w:pPr>
      <w:r>
        <w:t>разрешение о переводе или отказе</w:t>
      </w:r>
    </w:p>
    <w:p w:rsidR="009954CC" w:rsidRDefault="009954CC">
      <w:pPr>
        <w:pStyle w:val="ConsPlusNormal"/>
        <w:jc w:val="right"/>
      </w:pPr>
      <w:r>
        <w:t>в переводе жилого помещения в нежилое</w:t>
      </w:r>
    </w:p>
    <w:p w:rsidR="009954CC" w:rsidRDefault="009954CC">
      <w:pPr>
        <w:pStyle w:val="ConsPlusNormal"/>
        <w:jc w:val="right"/>
      </w:pPr>
      <w:r>
        <w:t>или нежилого помещения в жилое</w:t>
      </w:r>
    </w:p>
    <w:p w:rsidR="009954CC" w:rsidRDefault="009954CC">
      <w:pPr>
        <w:pStyle w:val="ConsPlusNormal"/>
        <w:jc w:val="right"/>
      </w:pPr>
      <w:r>
        <w:t>помещение на территории</w:t>
      </w:r>
    </w:p>
    <w:p w:rsidR="009954CC" w:rsidRDefault="009954CC">
      <w:pPr>
        <w:pStyle w:val="ConsPlusNormal"/>
        <w:jc w:val="right"/>
      </w:pPr>
      <w:r>
        <w:t>Артемовского городского округа"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nformat"/>
        <w:jc w:val="both"/>
      </w:pPr>
      <w:r>
        <w:t xml:space="preserve">                                        Председателю Комитета</w:t>
      </w:r>
    </w:p>
    <w:p w:rsidR="009954CC" w:rsidRDefault="009954CC">
      <w:pPr>
        <w:pStyle w:val="ConsPlusNonformat"/>
        <w:jc w:val="both"/>
      </w:pPr>
      <w:r>
        <w:t xml:space="preserve">                                        по архитектуре и градостроительству</w:t>
      </w:r>
    </w:p>
    <w:p w:rsidR="009954CC" w:rsidRDefault="009954CC">
      <w:pPr>
        <w:pStyle w:val="ConsPlusNonformat"/>
        <w:jc w:val="both"/>
      </w:pPr>
      <w:r>
        <w:t xml:space="preserve">                                        Артемовского городского округа</w:t>
      </w:r>
    </w:p>
    <w:p w:rsidR="009954CC" w:rsidRDefault="009954C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954CC" w:rsidRDefault="009954CC">
      <w:pPr>
        <w:pStyle w:val="ConsPlusNonformat"/>
        <w:jc w:val="both"/>
      </w:pPr>
      <w:r>
        <w:lastRenderedPageBreak/>
        <w:t xml:space="preserve">                                        Проживающего(ей) по адресу:</w:t>
      </w:r>
    </w:p>
    <w:p w:rsidR="009954CC" w:rsidRDefault="009954C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     тел. 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     "__" _____________ 20__ года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bookmarkStart w:id="13" w:name="P271"/>
      <w:bookmarkEnd w:id="13"/>
      <w:r>
        <w:t xml:space="preserve">                                 ЗАЯВЛЕНИЕ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r>
        <w:t xml:space="preserve">    Прошу   перевести   принадлежащее  мне  на  праве  собственности  жилое</w:t>
      </w:r>
    </w:p>
    <w:p w:rsidR="009954CC" w:rsidRDefault="009954CC">
      <w:pPr>
        <w:pStyle w:val="ConsPlusNonformat"/>
        <w:jc w:val="both"/>
      </w:pPr>
      <w:r>
        <w:t>(нежилое) помещение, расположенное по адресу: _____________________________</w:t>
      </w:r>
    </w:p>
    <w:p w:rsidR="009954CC" w:rsidRDefault="009954CC">
      <w:pPr>
        <w:pStyle w:val="ConsPlusNonformat"/>
        <w:jc w:val="both"/>
      </w:pPr>
      <w:r>
        <w:t>(ненужное зачеркнуть)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>в  нежилое  (жилое)  для  переустройства  и  перепланировки  и  дальнейшего</w:t>
      </w:r>
    </w:p>
    <w:p w:rsidR="009954CC" w:rsidRDefault="009954CC">
      <w:pPr>
        <w:pStyle w:val="ConsPlusNonformat"/>
        <w:jc w:val="both"/>
      </w:pPr>
      <w:r>
        <w:t>использования</w:t>
      </w:r>
    </w:p>
    <w:p w:rsidR="009954CC" w:rsidRDefault="009954CC">
      <w:pPr>
        <w:pStyle w:val="ConsPlusNonformat"/>
        <w:jc w:val="both"/>
      </w:pPr>
      <w:r>
        <w:t>(ненужное зачеркнуть)</w:t>
      </w:r>
    </w:p>
    <w:p w:rsidR="009954CC" w:rsidRDefault="009954CC">
      <w:pPr>
        <w:pStyle w:val="ConsPlusNonformat"/>
        <w:jc w:val="both"/>
      </w:pPr>
      <w:r>
        <w:t>в качестве 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указать новое назначение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r>
        <w:t>К заявлению прилагаю следующие документы:</w:t>
      </w:r>
    </w:p>
    <w:p w:rsidR="009954CC" w:rsidRDefault="009954CC">
      <w:pPr>
        <w:pStyle w:val="ConsPlusNonformat"/>
        <w:jc w:val="both"/>
      </w:pPr>
      <w:r>
        <w:t>1. Правоустанавливающие документы на переводимое помещение (копия).</w:t>
      </w:r>
    </w:p>
    <w:p w:rsidR="009954CC" w:rsidRDefault="009954CC">
      <w:pPr>
        <w:pStyle w:val="ConsPlusNonformat"/>
        <w:jc w:val="both"/>
      </w:pPr>
      <w:r>
        <w:t>2.  План  переводимого  помещения  с  техническим  описанием  конструкций и</w:t>
      </w:r>
    </w:p>
    <w:p w:rsidR="009954CC" w:rsidRDefault="009954CC">
      <w:pPr>
        <w:pStyle w:val="ConsPlusNonformat"/>
        <w:jc w:val="both"/>
      </w:pPr>
      <w:r>
        <w:t>процентом их износа (кадастровый паспорт или тех. паспорт БТИ).</w:t>
      </w:r>
    </w:p>
    <w:p w:rsidR="009954CC" w:rsidRDefault="009954CC">
      <w:pPr>
        <w:pStyle w:val="ConsPlusNonformat"/>
        <w:jc w:val="both"/>
      </w:pPr>
      <w:r>
        <w:t>3. Поэтажный план дома, в котором находится переводимое помещение.</w:t>
      </w:r>
    </w:p>
    <w:p w:rsidR="009954CC" w:rsidRDefault="009954CC">
      <w:pPr>
        <w:pStyle w:val="ConsPlusNonformat"/>
        <w:jc w:val="both"/>
      </w:pPr>
      <w:r>
        <w:t>4. Проект переустройства (перепланировки) переводимого помещения.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r>
        <w:t xml:space="preserve">                                                       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right"/>
        <w:outlineLvl w:val="1"/>
      </w:pPr>
      <w:r>
        <w:t>Приложение N 2</w:t>
      </w:r>
    </w:p>
    <w:p w:rsidR="009954CC" w:rsidRDefault="009954CC">
      <w:pPr>
        <w:pStyle w:val="ConsPlusNormal"/>
        <w:jc w:val="right"/>
      </w:pPr>
      <w:r>
        <w:t>к Административному регламенту</w:t>
      </w:r>
    </w:p>
    <w:p w:rsidR="009954CC" w:rsidRDefault="009954CC">
      <w:pPr>
        <w:pStyle w:val="ConsPlusNormal"/>
        <w:jc w:val="right"/>
      </w:pPr>
      <w:r>
        <w:t>предоставления муниципальной услуги</w:t>
      </w:r>
    </w:p>
    <w:p w:rsidR="009954CC" w:rsidRDefault="009954CC">
      <w:pPr>
        <w:pStyle w:val="ConsPlusNormal"/>
        <w:jc w:val="right"/>
      </w:pPr>
      <w:r>
        <w:t>"Принятие документов, а также выдача</w:t>
      </w:r>
    </w:p>
    <w:p w:rsidR="009954CC" w:rsidRDefault="009954CC">
      <w:pPr>
        <w:pStyle w:val="ConsPlusNormal"/>
        <w:jc w:val="right"/>
      </w:pPr>
      <w:r>
        <w:t>разрешение о переводе или отказе</w:t>
      </w:r>
    </w:p>
    <w:p w:rsidR="009954CC" w:rsidRDefault="009954CC">
      <w:pPr>
        <w:pStyle w:val="ConsPlusNormal"/>
        <w:jc w:val="right"/>
      </w:pPr>
      <w:r>
        <w:t>в переводе жилого помещения в нежилое</w:t>
      </w:r>
    </w:p>
    <w:p w:rsidR="009954CC" w:rsidRDefault="009954CC">
      <w:pPr>
        <w:pStyle w:val="ConsPlusNormal"/>
        <w:jc w:val="right"/>
      </w:pPr>
      <w:r>
        <w:t>или нежилого помещения в жилое</w:t>
      </w:r>
    </w:p>
    <w:p w:rsidR="009954CC" w:rsidRDefault="009954CC">
      <w:pPr>
        <w:pStyle w:val="ConsPlusNormal"/>
        <w:jc w:val="right"/>
      </w:pPr>
      <w:r>
        <w:t>помещение на территории</w:t>
      </w:r>
    </w:p>
    <w:p w:rsidR="009954CC" w:rsidRDefault="009954CC">
      <w:pPr>
        <w:pStyle w:val="ConsPlusNormal"/>
        <w:jc w:val="right"/>
      </w:pPr>
      <w:r>
        <w:t>Артемовского городского округа"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nformat"/>
        <w:jc w:val="both"/>
      </w:pPr>
      <w:r>
        <w:t xml:space="preserve">                             Кому 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(фамилия, имя, отчество - для граждан;</w:t>
      </w:r>
    </w:p>
    <w:p w:rsidR="009954CC" w:rsidRDefault="009954C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полное наименование организации -</w:t>
      </w:r>
    </w:p>
    <w:p w:rsidR="009954CC" w:rsidRDefault="009954CC">
      <w:pPr>
        <w:pStyle w:val="ConsPlusNonformat"/>
        <w:jc w:val="both"/>
      </w:pPr>
      <w:r>
        <w:t xml:space="preserve">                                         для юридических лиц)</w:t>
      </w:r>
    </w:p>
    <w:p w:rsidR="009954CC" w:rsidRDefault="009954C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Куда 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  (почтовый индекс и адрес заявителя</w:t>
      </w:r>
    </w:p>
    <w:p w:rsidR="009954CC" w:rsidRDefault="009954C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                согласно заявлению о переводе)</w:t>
      </w:r>
    </w:p>
    <w:p w:rsidR="009954CC" w:rsidRDefault="009954CC">
      <w:pPr>
        <w:pStyle w:val="ConsPlusNonformat"/>
        <w:jc w:val="both"/>
      </w:pPr>
      <w:r>
        <w:t xml:space="preserve">                             ______________________________________________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bookmarkStart w:id="14" w:name="P322"/>
      <w:bookmarkEnd w:id="14"/>
      <w:r>
        <w:t xml:space="preserve">                                УВЕДОМЛЕНИЕ</w:t>
      </w:r>
    </w:p>
    <w:p w:rsidR="009954CC" w:rsidRDefault="009954CC">
      <w:pPr>
        <w:pStyle w:val="ConsPlusNonformat"/>
        <w:jc w:val="both"/>
      </w:pPr>
      <w:r>
        <w:t xml:space="preserve">        О ПЕРЕВОДЕ (ОТКАЗЕ В ПЕРЕВОДЕ) ЖИЛОГО (НЕЖИЛОГО) ПОМЕЩЕНИЯ</w:t>
      </w:r>
    </w:p>
    <w:p w:rsidR="009954CC" w:rsidRDefault="009954CC">
      <w:pPr>
        <w:pStyle w:val="ConsPlusNonformat"/>
        <w:jc w:val="both"/>
      </w:pPr>
      <w:r>
        <w:t xml:space="preserve">                        В НЕЖИЛОЕ (ЖИЛОЕ) ПОМЕЩЕНИЕ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(полное наименование органа местного самоуправления,</w:t>
      </w:r>
    </w:p>
    <w:p w:rsidR="009954CC" w:rsidRDefault="009954CC">
      <w:pPr>
        <w:pStyle w:val="ConsPlusNonformat"/>
        <w:jc w:val="both"/>
      </w:pPr>
      <w:r>
        <w:t xml:space="preserve">                    осуществляющего перевод помещения)</w:t>
      </w:r>
    </w:p>
    <w:p w:rsidR="009954CC" w:rsidRDefault="009954CC">
      <w:pPr>
        <w:pStyle w:val="ConsPlusNonformat"/>
        <w:jc w:val="both"/>
      </w:pPr>
      <w:r>
        <w:t xml:space="preserve">рассмотрев  представленные  в  соответствии  с </w:t>
      </w:r>
      <w:hyperlink r:id="rId25" w:history="1">
        <w:r>
          <w:rPr>
            <w:color w:val="0000FF"/>
          </w:rPr>
          <w:t>частью 2 статьи 23</w:t>
        </w:r>
      </w:hyperlink>
      <w:r>
        <w:t xml:space="preserve"> Жилищного</w:t>
      </w:r>
    </w:p>
    <w:p w:rsidR="009954CC" w:rsidRDefault="009954CC">
      <w:pPr>
        <w:pStyle w:val="ConsPlusNonformat"/>
        <w:jc w:val="both"/>
      </w:pPr>
      <w:r>
        <w:t>кодекса  Российской Федерации документы о переводе помещения общей площадью</w:t>
      </w:r>
    </w:p>
    <w:p w:rsidR="009954CC" w:rsidRDefault="009954CC">
      <w:pPr>
        <w:pStyle w:val="ConsPlusNonformat"/>
        <w:jc w:val="both"/>
      </w:pPr>
      <w:r>
        <w:t>____________ кв. м, находящегося по адресу: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(наименование улицы, площади, проспекта, бульвара, проезда и т.п.)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r>
        <w:t>дом ____, корпус ____ (владение, строение), кв. _____, из жилого (нежилого)</w:t>
      </w:r>
    </w:p>
    <w:p w:rsidR="009954CC" w:rsidRDefault="009954CC">
      <w:pPr>
        <w:pStyle w:val="ConsPlusNonformat"/>
        <w:jc w:val="both"/>
      </w:pPr>
      <w:r>
        <w:t xml:space="preserve">                                                       --------------------</w:t>
      </w:r>
    </w:p>
    <w:p w:rsidR="009954CC" w:rsidRDefault="009954CC">
      <w:pPr>
        <w:pStyle w:val="ConsPlusNonformat"/>
        <w:jc w:val="both"/>
      </w:pPr>
      <w:r>
        <w:t xml:space="preserve">                                                      (ненужное зачеркнуть)</w:t>
      </w:r>
    </w:p>
    <w:p w:rsidR="009954CC" w:rsidRDefault="009954CC">
      <w:pPr>
        <w:pStyle w:val="ConsPlusNonformat"/>
        <w:jc w:val="both"/>
      </w:pPr>
      <w:r>
        <w:t xml:space="preserve">   в нежилое (жилое)</w:t>
      </w:r>
    </w:p>
    <w:p w:rsidR="009954CC" w:rsidRDefault="009954CC">
      <w:pPr>
        <w:pStyle w:val="ConsPlusNonformat"/>
        <w:jc w:val="both"/>
      </w:pPr>
      <w:r>
        <w:t>-----------------------</w:t>
      </w:r>
    </w:p>
    <w:p w:rsidR="009954CC" w:rsidRDefault="009954CC">
      <w:pPr>
        <w:pStyle w:val="ConsPlusNonformat"/>
        <w:jc w:val="both"/>
      </w:pPr>
      <w:r>
        <w:t xml:space="preserve"> (ненужное зачеркнуть)</w:t>
      </w:r>
    </w:p>
    <w:p w:rsidR="009954CC" w:rsidRDefault="009954CC">
      <w:pPr>
        <w:pStyle w:val="ConsPlusNonformat"/>
        <w:jc w:val="both"/>
      </w:pPr>
      <w:r>
        <w:t>в целях использования помещения в качестве ________________________________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(вид использования помещения в соответствии с заявлением о переводе)</w:t>
      </w:r>
    </w:p>
    <w:p w:rsidR="009954CC" w:rsidRDefault="009954CC">
      <w:pPr>
        <w:pStyle w:val="ConsPlusNonformat"/>
        <w:jc w:val="both"/>
      </w:pPr>
      <w:r>
        <w:t>РЕШИЛА: 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              (наименование акта, дата его принятия и номер)</w:t>
      </w:r>
    </w:p>
    <w:p w:rsidR="009954CC" w:rsidRDefault="009954CC">
      <w:pPr>
        <w:pStyle w:val="ConsPlusNonformat"/>
        <w:jc w:val="both"/>
      </w:pPr>
      <w:r>
        <w:t>1. Помещение на основании приложенных к заявлению документов:</w:t>
      </w:r>
    </w:p>
    <w:p w:rsidR="009954CC" w:rsidRDefault="009954CC">
      <w:pPr>
        <w:pStyle w:val="ConsPlusNonformat"/>
        <w:jc w:val="both"/>
      </w:pPr>
      <w:r>
        <w:t>а) перевести   из жилого (нежилого) в нежилое (жилое)   без предварительных</w:t>
      </w:r>
    </w:p>
    <w:p w:rsidR="009954CC" w:rsidRDefault="009954CC">
      <w:pPr>
        <w:pStyle w:val="ConsPlusNonformat"/>
        <w:jc w:val="both"/>
      </w:pPr>
      <w:r>
        <w:t xml:space="preserve">             ------------------------------------------</w:t>
      </w:r>
    </w:p>
    <w:p w:rsidR="009954CC" w:rsidRDefault="009954CC">
      <w:pPr>
        <w:pStyle w:val="ConsPlusNonformat"/>
        <w:jc w:val="both"/>
      </w:pPr>
      <w:r>
        <w:t xml:space="preserve">                       (ненужное зачеркнуть)</w:t>
      </w:r>
    </w:p>
    <w:p w:rsidR="009954CC" w:rsidRDefault="009954CC">
      <w:pPr>
        <w:pStyle w:val="ConsPlusNonformat"/>
        <w:jc w:val="both"/>
      </w:pPr>
      <w:r>
        <w:t>условий;</w:t>
      </w:r>
    </w:p>
    <w:p w:rsidR="009954CC" w:rsidRDefault="009954CC">
      <w:pPr>
        <w:pStyle w:val="ConsPlusNonformat"/>
        <w:jc w:val="both"/>
      </w:pPr>
      <w:r>
        <w:t>б) перевести из жилого (нежилого)  в нежилое (жилое) при условии проведения</w:t>
      </w:r>
    </w:p>
    <w:p w:rsidR="009954CC" w:rsidRDefault="009954CC">
      <w:pPr>
        <w:pStyle w:val="ConsPlusNonformat"/>
        <w:jc w:val="both"/>
      </w:pPr>
      <w:r>
        <w:t>в установленном порядке следующих видов работ: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  (перечень работ по переустройству (перепланировке) помещения или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иных необходимых работ по ремонту, реконструкции, реставрации помещения)</w:t>
      </w:r>
    </w:p>
    <w:p w:rsidR="009954CC" w:rsidRDefault="009954CC">
      <w:pPr>
        <w:pStyle w:val="ConsPlusNonformat"/>
        <w:jc w:val="both"/>
      </w:pPr>
      <w:r>
        <w:t>2. Отказать в переводе указанного помещения  из жилого (нежилого) в нежилое</w:t>
      </w:r>
    </w:p>
    <w:p w:rsidR="009954CC" w:rsidRDefault="009954CC">
      <w:pPr>
        <w:pStyle w:val="ConsPlusNonformat"/>
        <w:jc w:val="both"/>
      </w:pPr>
      <w:r>
        <w:t>(жилое) в связи с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 xml:space="preserve">   основание(я), установленное(ые) </w:t>
      </w:r>
      <w:hyperlink r:id="rId26" w:history="1">
        <w:r>
          <w:rPr>
            <w:color w:val="0000FF"/>
          </w:rPr>
          <w:t>частью 1 статьи 24</w:t>
        </w:r>
      </w:hyperlink>
      <w:r>
        <w:t xml:space="preserve"> Жилищного кодекса</w:t>
      </w:r>
    </w:p>
    <w:p w:rsidR="009954CC" w:rsidRDefault="009954CC">
      <w:pPr>
        <w:pStyle w:val="ConsPlusNonformat"/>
        <w:jc w:val="both"/>
      </w:pPr>
      <w:r>
        <w:t xml:space="preserve">                           Российской Федерации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  <w:r>
        <w:t>___________________________________________________________________________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r>
        <w:t>_____________________________ _________________ ___________________________</w:t>
      </w:r>
    </w:p>
    <w:p w:rsidR="009954CC" w:rsidRDefault="009954CC">
      <w:pPr>
        <w:pStyle w:val="ConsPlusNonformat"/>
        <w:jc w:val="both"/>
      </w:pPr>
      <w:r>
        <w:t xml:space="preserve">      (должность лица,            (подпись)        (расшифровка подписи)</w:t>
      </w:r>
    </w:p>
    <w:p w:rsidR="009954CC" w:rsidRDefault="009954CC">
      <w:pPr>
        <w:pStyle w:val="ConsPlusNonformat"/>
        <w:jc w:val="both"/>
      </w:pPr>
      <w:r>
        <w:t xml:space="preserve">  подписавшего уведомление)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r>
        <w:t>"__" _______________ 20__ года</w:t>
      </w:r>
    </w:p>
    <w:p w:rsidR="009954CC" w:rsidRDefault="009954CC">
      <w:pPr>
        <w:pStyle w:val="ConsPlusNonformat"/>
        <w:jc w:val="both"/>
      </w:pPr>
    </w:p>
    <w:p w:rsidR="009954CC" w:rsidRDefault="009954CC">
      <w:pPr>
        <w:pStyle w:val="ConsPlusNonformat"/>
        <w:jc w:val="both"/>
      </w:pPr>
      <w:r>
        <w:t>М.П.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right"/>
        <w:outlineLvl w:val="1"/>
      </w:pPr>
      <w:r>
        <w:t>Приложение N 3</w:t>
      </w:r>
    </w:p>
    <w:p w:rsidR="009954CC" w:rsidRDefault="009954CC">
      <w:pPr>
        <w:pStyle w:val="ConsPlusNormal"/>
        <w:jc w:val="right"/>
      </w:pPr>
      <w:r>
        <w:lastRenderedPageBreak/>
        <w:t>к Административному регламенту</w:t>
      </w:r>
    </w:p>
    <w:p w:rsidR="009954CC" w:rsidRDefault="009954CC">
      <w:pPr>
        <w:pStyle w:val="ConsPlusNormal"/>
        <w:jc w:val="right"/>
      </w:pPr>
      <w:r>
        <w:t>предоставления муниципальной услуги</w:t>
      </w:r>
    </w:p>
    <w:p w:rsidR="009954CC" w:rsidRDefault="009954CC">
      <w:pPr>
        <w:pStyle w:val="ConsPlusNormal"/>
        <w:jc w:val="right"/>
      </w:pPr>
      <w:r>
        <w:t>"Принятие документов, а также выдача</w:t>
      </w:r>
    </w:p>
    <w:p w:rsidR="009954CC" w:rsidRDefault="009954CC">
      <w:pPr>
        <w:pStyle w:val="ConsPlusNormal"/>
        <w:jc w:val="right"/>
      </w:pPr>
      <w:r>
        <w:t>разрешение о переводе или отказе</w:t>
      </w:r>
    </w:p>
    <w:p w:rsidR="009954CC" w:rsidRDefault="009954CC">
      <w:pPr>
        <w:pStyle w:val="ConsPlusNormal"/>
        <w:jc w:val="right"/>
      </w:pPr>
      <w:r>
        <w:t>в переводе жилого помещения в нежилое</w:t>
      </w:r>
    </w:p>
    <w:p w:rsidR="009954CC" w:rsidRDefault="009954CC">
      <w:pPr>
        <w:pStyle w:val="ConsPlusNormal"/>
        <w:jc w:val="right"/>
      </w:pPr>
      <w:r>
        <w:t>или нежилого помещения в жилое</w:t>
      </w:r>
    </w:p>
    <w:p w:rsidR="009954CC" w:rsidRDefault="009954CC">
      <w:pPr>
        <w:pStyle w:val="ConsPlusNormal"/>
        <w:jc w:val="right"/>
      </w:pPr>
      <w:r>
        <w:t>помещение на территории</w:t>
      </w:r>
    </w:p>
    <w:p w:rsidR="009954CC" w:rsidRDefault="009954CC">
      <w:pPr>
        <w:pStyle w:val="ConsPlusNormal"/>
        <w:jc w:val="right"/>
      </w:pPr>
      <w:r>
        <w:t>Артемовского городского округа"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center"/>
      </w:pPr>
      <w:bookmarkStart w:id="15" w:name="P391"/>
      <w:bookmarkEnd w:id="15"/>
      <w:r>
        <w:t>БЛОК-СХЕМА</w:t>
      </w:r>
    </w:p>
    <w:p w:rsidR="009954CC" w:rsidRDefault="009954CC">
      <w:pPr>
        <w:pStyle w:val="ConsPlusNormal"/>
        <w:jc w:val="center"/>
      </w:pPr>
      <w:r>
        <w:t>ПОСЛЕДОВАТЕЛЬНОСТИ АДМИНИСТРАТИВНЫХ ПРОЦЕДУР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nformat"/>
        <w:jc w:val="both"/>
      </w:pPr>
      <w:r>
        <w:t xml:space="preserve">                   ┌─────────────────────────────────┐</w:t>
      </w:r>
    </w:p>
    <w:p w:rsidR="009954CC" w:rsidRDefault="009954CC">
      <w:pPr>
        <w:pStyle w:val="ConsPlusNonformat"/>
        <w:jc w:val="both"/>
      </w:pPr>
      <w:r>
        <w:t xml:space="preserve">                   │ Прием и регистрация заявления и │</w:t>
      </w:r>
    </w:p>
    <w:p w:rsidR="009954CC" w:rsidRDefault="009954CC">
      <w:pPr>
        <w:pStyle w:val="ConsPlusNonformat"/>
        <w:jc w:val="both"/>
      </w:pPr>
      <w:r>
        <w:t xml:space="preserve">                   │  прилагаемых к нему документов  │</w:t>
      </w:r>
    </w:p>
    <w:p w:rsidR="009954CC" w:rsidRDefault="009954CC">
      <w:pPr>
        <w:pStyle w:val="ConsPlusNonformat"/>
        <w:jc w:val="both"/>
      </w:pPr>
      <w:r>
        <w:t xml:space="preserve">                   └────────────────┬────────────────┘</w:t>
      </w:r>
    </w:p>
    <w:p w:rsidR="009954CC" w:rsidRDefault="009954CC">
      <w:pPr>
        <w:pStyle w:val="ConsPlusNonformat"/>
        <w:jc w:val="both"/>
      </w:pPr>
      <w:r>
        <w:t xml:space="preserve">                                    \/</w:t>
      </w:r>
    </w:p>
    <w:p w:rsidR="009954CC" w:rsidRDefault="009954CC">
      <w:pPr>
        <w:pStyle w:val="ConsPlusNonformat"/>
        <w:jc w:val="both"/>
      </w:pPr>
      <w:r>
        <w:t xml:space="preserve">                   ┌─────────────────────────────────┐</w:t>
      </w:r>
    </w:p>
    <w:p w:rsidR="009954CC" w:rsidRDefault="009954CC">
      <w:pPr>
        <w:pStyle w:val="ConsPlusNonformat"/>
        <w:jc w:val="both"/>
      </w:pPr>
      <w:r>
        <w:t xml:space="preserve">                   │   Формирование и направление    │</w:t>
      </w:r>
    </w:p>
    <w:p w:rsidR="009954CC" w:rsidRDefault="009954CC">
      <w:pPr>
        <w:pStyle w:val="ConsPlusNonformat"/>
        <w:jc w:val="both"/>
      </w:pPr>
      <w:r>
        <w:t xml:space="preserve">                   │   межведомственных запросов,    │</w:t>
      </w:r>
    </w:p>
    <w:p w:rsidR="009954CC" w:rsidRDefault="009954CC">
      <w:pPr>
        <w:pStyle w:val="ConsPlusNonformat"/>
        <w:jc w:val="both"/>
      </w:pPr>
      <w:r>
        <w:t xml:space="preserve">                   │        получение ответов        │</w:t>
      </w:r>
    </w:p>
    <w:p w:rsidR="009954CC" w:rsidRDefault="009954CC">
      <w:pPr>
        <w:pStyle w:val="ConsPlusNonformat"/>
        <w:jc w:val="both"/>
      </w:pPr>
      <w:r>
        <w:t xml:space="preserve">                   │   на межведомственные запросы   │</w:t>
      </w:r>
    </w:p>
    <w:p w:rsidR="009954CC" w:rsidRDefault="009954CC">
      <w:pPr>
        <w:pStyle w:val="ConsPlusNonformat"/>
        <w:jc w:val="both"/>
      </w:pPr>
      <w:r>
        <w:t xml:space="preserve">                   └────────────────┬────────────────┘</w:t>
      </w:r>
    </w:p>
    <w:p w:rsidR="009954CC" w:rsidRDefault="009954CC">
      <w:pPr>
        <w:pStyle w:val="ConsPlusNonformat"/>
        <w:jc w:val="both"/>
      </w:pPr>
      <w:r>
        <w:t xml:space="preserve">                                    \/</w:t>
      </w:r>
    </w:p>
    <w:p w:rsidR="009954CC" w:rsidRDefault="009954CC">
      <w:pPr>
        <w:pStyle w:val="ConsPlusNonformat"/>
        <w:jc w:val="both"/>
      </w:pPr>
      <w:r>
        <w:t xml:space="preserve">                   ┌─────────────────────────────────┐</w:t>
      </w:r>
    </w:p>
    <w:p w:rsidR="009954CC" w:rsidRDefault="009954CC">
      <w:pPr>
        <w:pStyle w:val="ConsPlusNonformat"/>
        <w:jc w:val="both"/>
      </w:pPr>
      <w:r>
        <w:t xml:space="preserve">                   │Анализ документов, представленных│</w:t>
      </w:r>
    </w:p>
    <w:p w:rsidR="009954CC" w:rsidRDefault="009954CC">
      <w:pPr>
        <w:pStyle w:val="ConsPlusNonformat"/>
        <w:jc w:val="both"/>
      </w:pPr>
      <w:r>
        <w:t xml:space="preserve">                   │     заявителем и полученных     │</w:t>
      </w:r>
    </w:p>
    <w:p w:rsidR="009954CC" w:rsidRDefault="009954CC">
      <w:pPr>
        <w:pStyle w:val="ConsPlusNonformat"/>
        <w:jc w:val="both"/>
      </w:pPr>
      <w:r>
        <w:t xml:space="preserve">                   │  по межведомственному запросу   │</w:t>
      </w:r>
    </w:p>
    <w:p w:rsidR="009954CC" w:rsidRDefault="009954CC">
      <w:pPr>
        <w:pStyle w:val="ConsPlusNonformat"/>
        <w:jc w:val="both"/>
      </w:pPr>
      <w:r>
        <w:t xml:space="preserve">                   └────────────────┬────────────────┘</w:t>
      </w:r>
    </w:p>
    <w:p w:rsidR="009954CC" w:rsidRDefault="009954CC">
      <w:pPr>
        <w:pStyle w:val="ConsPlusNonformat"/>
        <w:jc w:val="both"/>
      </w:pPr>
      <w:r>
        <w:t xml:space="preserve">                                    \/</w:t>
      </w:r>
    </w:p>
    <w:p w:rsidR="009954CC" w:rsidRDefault="009954CC">
      <w:pPr>
        <w:pStyle w:val="ConsPlusNonformat"/>
        <w:jc w:val="both"/>
      </w:pPr>
      <w:r>
        <w:t xml:space="preserve">                        ┌───────────────────────┐</w:t>
      </w:r>
    </w:p>
    <w:p w:rsidR="009954CC" w:rsidRDefault="009954CC">
      <w:pPr>
        <w:pStyle w:val="ConsPlusNonformat"/>
        <w:jc w:val="both"/>
      </w:pPr>
      <w:r>
        <w:t xml:space="preserve">              ┌────┐    │Все документы в наличии│    ┌────┐</w:t>
      </w:r>
    </w:p>
    <w:p w:rsidR="009954CC" w:rsidRDefault="009954CC">
      <w:pPr>
        <w:pStyle w:val="ConsPlusNonformat"/>
        <w:jc w:val="both"/>
      </w:pPr>
      <w:r>
        <w:t xml:space="preserve">              │Нет │&lt;───┤    и соответствуют    ├───&gt;│ Да │</w:t>
      </w:r>
    </w:p>
    <w:p w:rsidR="009954CC" w:rsidRDefault="009954CC">
      <w:pPr>
        <w:pStyle w:val="ConsPlusNonformat"/>
        <w:jc w:val="both"/>
      </w:pPr>
      <w:r>
        <w:t xml:space="preserve">              └─┬──┘    │      требованиям      │    └─┬──┘</w:t>
      </w:r>
    </w:p>
    <w:p w:rsidR="009954CC" w:rsidRDefault="009954CC">
      <w:pPr>
        <w:pStyle w:val="ConsPlusNonformat"/>
        <w:jc w:val="both"/>
      </w:pPr>
      <w:r>
        <w:t xml:space="preserve">                │       └───────────────────────┘      │</w:t>
      </w:r>
    </w:p>
    <w:p w:rsidR="009954CC" w:rsidRDefault="009954CC">
      <w:pPr>
        <w:pStyle w:val="ConsPlusNonformat"/>
        <w:jc w:val="both"/>
      </w:pPr>
      <w:r>
        <w:t xml:space="preserve">                \/                                     \/</w:t>
      </w:r>
    </w:p>
    <w:p w:rsidR="009954CC" w:rsidRDefault="009954CC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┌─────────────────────────────────┐</w:t>
      </w:r>
    </w:p>
    <w:p w:rsidR="009954CC" w:rsidRDefault="009954CC">
      <w:pPr>
        <w:pStyle w:val="ConsPlusNonformat"/>
        <w:jc w:val="both"/>
      </w:pPr>
      <w:r>
        <w:t>│     Подготовка и подписание     │   │     Подготовка и подписание     │</w:t>
      </w:r>
    </w:p>
    <w:p w:rsidR="009954CC" w:rsidRDefault="009954CC">
      <w:pPr>
        <w:pStyle w:val="ConsPlusNonformat"/>
        <w:jc w:val="both"/>
      </w:pPr>
      <w:r>
        <w:t>│уведомления об отказе в переводе │   │           уведомления           │</w:t>
      </w:r>
    </w:p>
    <w:p w:rsidR="009954CC" w:rsidRDefault="009954CC">
      <w:pPr>
        <w:pStyle w:val="ConsPlusNonformat"/>
        <w:jc w:val="both"/>
      </w:pPr>
      <w:r>
        <w:t>│   жилого (нежилого) помещения   │   │  о переводе жилого (нежилого)   │</w:t>
      </w:r>
    </w:p>
    <w:p w:rsidR="009954CC" w:rsidRDefault="009954CC">
      <w:pPr>
        <w:pStyle w:val="ConsPlusNonformat"/>
        <w:jc w:val="both"/>
      </w:pPr>
      <w:r>
        <w:t>│   в нежилое (жилое) помещение   │   │   помещения в нежилое (жилое)   │</w:t>
      </w:r>
    </w:p>
    <w:p w:rsidR="009954CC" w:rsidRDefault="009954CC">
      <w:pPr>
        <w:pStyle w:val="ConsPlusNonformat"/>
        <w:jc w:val="both"/>
      </w:pPr>
      <w:r>
        <w:t>│                                 │   │            помещение            │</w:t>
      </w:r>
    </w:p>
    <w:p w:rsidR="009954CC" w:rsidRDefault="009954CC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└────────────────┬────────────────┘</w:t>
      </w:r>
    </w:p>
    <w:p w:rsidR="009954CC" w:rsidRDefault="009954CC">
      <w:pPr>
        <w:pStyle w:val="ConsPlusNonformat"/>
        <w:jc w:val="both"/>
      </w:pPr>
      <w:r>
        <w:t xml:space="preserve">                \/                                     \/</w:t>
      </w:r>
    </w:p>
    <w:p w:rsidR="009954CC" w:rsidRDefault="009954CC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┌─────────────────────────────────┐</w:t>
      </w:r>
    </w:p>
    <w:p w:rsidR="009954CC" w:rsidRDefault="009954CC">
      <w:pPr>
        <w:pStyle w:val="ConsPlusNonformat"/>
        <w:jc w:val="both"/>
      </w:pPr>
      <w:r>
        <w:t>│  Выдача заявителю уведомления   │   │  Выдача заявителю уведомления   │</w:t>
      </w:r>
    </w:p>
    <w:p w:rsidR="009954CC" w:rsidRDefault="009954CC">
      <w:pPr>
        <w:pStyle w:val="ConsPlusNonformat"/>
        <w:jc w:val="both"/>
      </w:pPr>
      <w:r>
        <w:t>│      об отказе в переводе       │   │  о переводе жилого (нежилого)   │</w:t>
      </w:r>
    </w:p>
    <w:p w:rsidR="009954CC" w:rsidRDefault="009954CC">
      <w:pPr>
        <w:pStyle w:val="ConsPlusNonformat"/>
        <w:jc w:val="both"/>
      </w:pPr>
      <w:r>
        <w:t>│   жилого (нежилого) помещения   │   │   помещения в нежилое (жилое)   │</w:t>
      </w:r>
    </w:p>
    <w:p w:rsidR="009954CC" w:rsidRDefault="009954CC">
      <w:pPr>
        <w:pStyle w:val="ConsPlusNonformat"/>
        <w:jc w:val="both"/>
      </w:pPr>
      <w:r>
        <w:t>│   в нежилое (жилое) помещение   │   │            помещение            │</w:t>
      </w:r>
    </w:p>
    <w:p w:rsidR="009954CC" w:rsidRDefault="009954CC">
      <w:pPr>
        <w:pStyle w:val="ConsPlusNonformat"/>
        <w:jc w:val="both"/>
      </w:pPr>
      <w:r>
        <w:t>└─────────────────────────────────┘   └─────────────────────────────────┘</w:t>
      </w: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jc w:val="both"/>
      </w:pPr>
    </w:p>
    <w:p w:rsidR="009954CC" w:rsidRDefault="009954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6" w:name="_GoBack"/>
      <w:bookmarkEnd w:id="16"/>
    </w:p>
    <w:sectPr w:rsidR="00CC72CE" w:rsidRPr="00EA5490" w:rsidSect="0077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C"/>
    <w:rsid w:val="00111390"/>
    <w:rsid w:val="0063379B"/>
    <w:rsid w:val="009954CC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A83D-F73A-4C27-8A5A-10D841F3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4C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954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54C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954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FADAAD2DEF3DEA7EA5834CA7F5E12744FE71FB5F3806BF0058730832137864DA57A3BBF11BD43916AC38A45gBt2H" TargetMode="External"/><Relationship Id="rId13" Type="http://schemas.openxmlformats.org/officeDocument/2006/relationships/hyperlink" Target="consultantplus://offline/ref=6EEFADAAD2DEF3DEA7EA5834CA7F5E127546E61CB2F4806BF0058730832137864DA57A3BBF11BD43916AC38A45gBt2H" TargetMode="External"/><Relationship Id="rId18" Type="http://schemas.openxmlformats.org/officeDocument/2006/relationships/hyperlink" Target="consultantplus://offline/ref=6EEFADAAD2DEF3DEA7EA4639DC130018774CBF17B3F08B3AAF5ADC6DD4283DD118EA7B67F94CAE419A6AC1895AB9DB34g1t6H" TargetMode="External"/><Relationship Id="rId26" Type="http://schemas.openxmlformats.org/officeDocument/2006/relationships/hyperlink" Target="consultantplus://offline/ref=6EEFADAAD2DEF3DEA7EA5834CA7F5E127546E719B3F6806BF0058730832137865FA52237BD19A24B9B7F95DB00EED637177E5CE4ED0C8A40gEt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EFADAAD2DEF3DEA7EA4639DC130018774CBF17B6F28B38A5568167DC7131D31FE52462FE5DAE429274C18245B08F645B3551E5FB108A42FEC97559gBt3H" TargetMode="External"/><Relationship Id="rId7" Type="http://schemas.openxmlformats.org/officeDocument/2006/relationships/hyperlink" Target="consultantplus://offline/ref=6EEFADAAD2DEF3DEA7EA5834CA7F5E127546E61CB2F4806BF0058730832137864DA57A3BBF11BD43916AC38A45gBt2H" TargetMode="External"/><Relationship Id="rId12" Type="http://schemas.openxmlformats.org/officeDocument/2006/relationships/hyperlink" Target="consultantplus://offline/ref=6EEFADAAD2DEF3DEA7EA4639DC130018774CBF17B6F28B38A5568167DC7131D31FE52462FE5DAE429274C18244B08F645B3551E5FB108A42FEC97559gBt3H" TargetMode="External"/><Relationship Id="rId17" Type="http://schemas.openxmlformats.org/officeDocument/2006/relationships/hyperlink" Target="consultantplus://offline/ref=6EEFADAAD2DEF3DEA7EA4639DC130018774CBF17B6F28839AE588167DC7131D31FE52462FE5DAE429274C18B46B08F645B3551E5FB108A42FEC97559gBt3H" TargetMode="External"/><Relationship Id="rId25" Type="http://schemas.openxmlformats.org/officeDocument/2006/relationships/hyperlink" Target="consultantplus://offline/ref=6EEFADAAD2DEF3DEA7EA5834CA7F5E127546E719B3F6806BF0058730832137865FA52237B819A817C330948746B3C5351C7E5EE7F2g0t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EFADAAD2DEF3DEA7EA5834CA7F5E127342E119B7FDDD61F85C8B32842E688358B42234B507A3408C76C18Bg4tDH" TargetMode="External"/><Relationship Id="rId20" Type="http://schemas.openxmlformats.org/officeDocument/2006/relationships/hyperlink" Target="consultantplus://offline/ref=6EEFADAAD2DEF3DEA7EA5834CA7F5E127546E719B3F6806BF0058730832137864DA57A3BBF11BD43916AC38A45gB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FADAAD2DEF3DEA7EA5834CA7F5E127547E21CB1FE806BF0058730832137865FA52237BD19A34A967F95DB00EED637177E5CE4ED0C8A40gEt9H" TargetMode="External"/><Relationship Id="rId11" Type="http://schemas.openxmlformats.org/officeDocument/2006/relationships/hyperlink" Target="consultantplus://offline/ref=6EEFADAAD2DEF3DEA7EA4639DC130018774CBF17B6F28839AE588167DC7131D31FE52462FE5DAE429275C4834CB08F645B3551E5FB108A42FEC97559gBt3H" TargetMode="External"/><Relationship Id="rId24" Type="http://schemas.openxmlformats.org/officeDocument/2006/relationships/hyperlink" Target="consultantplus://offline/ref=6EEFADAAD2DEF3DEA7EA5834CA7F5E127546E512B2F2806BF0058730832137864DA57A3BBF11BD43916AC38A45gBt2H" TargetMode="External"/><Relationship Id="rId5" Type="http://schemas.openxmlformats.org/officeDocument/2006/relationships/hyperlink" Target="consultantplus://offline/ref=6EEFADAAD2DEF3DEA7EA4639DC130018774CBF17B6F28B38A5568167DC7131D31FE52462FE5DAE429274C18244B08F645B3551E5FB108A42FEC97559gBt3H" TargetMode="External"/><Relationship Id="rId15" Type="http://schemas.openxmlformats.org/officeDocument/2006/relationships/hyperlink" Target="consultantplus://offline/ref=6EEFADAAD2DEF3DEA7EA5834CA7F5E127547E01AB5F7806BF0058730832137864DA57A3BBF11BD43916AC38A45gBt2H" TargetMode="External"/><Relationship Id="rId23" Type="http://schemas.openxmlformats.org/officeDocument/2006/relationships/hyperlink" Target="consultantplus://offline/ref=6EEFADAAD2DEF3DEA7EA5834CA7F5E127546E512B7FE806BF0058730832137864DA57A3BBF11BD43916AC38A45gBt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EEFADAAD2DEF3DEA7EA4639DC130018774CBF17B6F28839AE588167DC7131D31FE52462FE5DAE429275C48C44B08F645B3551E5FB108A42FEC97559gBt3H" TargetMode="External"/><Relationship Id="rId19" Type="http://schemas.openxmlformats.org/officeDocument/2006/relationships/hyperlink" Target="consultantplus://offline/ref=6EEFADAAD2DEF3DEA7EA5834CA7F5E127547E112B6F4806BF0058730832137864DA57A3BBF11BD43916AC38A45gBt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EFADAAD2DEF3DEA7EA4639DC130018774CBF17BCF68E34AE5ADC6DD4283DD118EA7B75F914A2439275C38E4FEF8A714A6D5EEFED0E895FE2CB74g5t1H" TargetMode="External"/><Relationship Id="rId14" Type="http://schemas.openxmlformats.org/officeDocument/2006/relationships/hyperlink" Target="consultantplus://offline/ref=6EEFADAAD2DEF3DEA7EA5834CA7F5E127546E719B3F6806BF0058730832137865FA52237BD19A244917F95DB00EED637177E5CE4ED0C8A40gEt9H" TargetMode="External"/><Relationship Id="rId22" Type="http://schemas.openxmlformats.org/officeDocument/2006/relationships/hyperlink" Target="consultantplus://offline/ref=6EEFADAAD2DEF3DEA7EA4639DC130018774CBF17B6F28B38A5568167DC7131D31FE52462FE5DAE429274C18247B08F645B3551E5FB108A42FEC97559gBt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7028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2</cp:revision>
  <dcterms:created xsi:type="dcterms:W3CDTF">2019-03-28T07:45:00Z</dcterms:created>
  <dcterms:modified xsi:type="dcterms:W3CDTF">2019-03-28T07:45:00Z</dcterms:modified>
</cp:coreProperties>
</file>