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0E" w:rsidRDefault="0058690E" w:rsidP="0062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58690E" w:rsidRDefault="0058690E" w:rsidP="0062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 Министерства внутренних дел России по Артемовскому району по реализации мероприятий в сфере профилактики правонарушений</w:t>
      </w:r>
    </w:p>
    <w:p w:rsidR="0062771B" w:rsidRDefault="0058690E" w:rsidP="0062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</w:t>
      </w:r>
      <w:r w:rsidR="0062771B" w:rsidRPr="0062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 </w:t>
      </w:r>
    </w:p>
    <w:p w:rsidR="0058690E" w:rsidRPr="0062771B" w:rsidRDefault="0058690E" w:rsidP="0062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71B" w:rsidRPr="0062771B" w:rsidRDefault="0058690E" w:rsidP="0062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муниципальной</w:t>
      </w:r>
      <w:r w:rsidR="0062771B" w:rsidRPr="006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«Развитие Артемовского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на период до 2020 года», утвержденной  п</w:t>
      </w:r>
      <w:r w:rsidR="0062771B" w:rsidRPr="006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Артемо</w:t>
      </w:r>
      <w:bookmarkStart w:id="0" w:name="_GoBack"/>
      <w:bookmarkEnd w:id="0"/>
      <w:r w:rsidR="0062771B" w:rsidRPr="006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03.12.2014 года № 1687-ПА,</w:t>
      </w:r>
      <w:r w:rsidR="0062771B" w:rsidRPr="006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МВД России по Артемовскому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разработан и согласован план</w:t>
      </w:r>
      <w:r w:rsidR="0062771B" w:rsidRPr="006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бюджетных ассигнований, выделенных на профилактику правонарушений в 2016 году на сумму  320 тысяч рублей.</w:t>
      </w:r>
    </w:p>
    <w:p w:rsidR="0062771B" w:rsidRPr="0062771B" w:rsidRDefault="0062771B" w:rsidP="0062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20650" distR="11893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103505</wp:posOffset>
            </wp:positionV>
            <wp:extent cx="6408420" cy="2904490"/>
            <wp:effectExtent l="0" t="0" r="11430" b="10160"/>
            <wp:wrapNone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71B" w:rsidRPr="0062771B" w:rsidRDefault="0062771B" w:rsidP="0062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1B" w:rsidRPr="0062771B" w:rsidRDefault="0062771B" w:rsidP="0062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1B" w:rsidRPr="0062771B" w:rsidRDefault="0062771B" w:rsidP="0062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1B" w:rsidRPr="0062771B" w:rsidRDefault="0062771B" w:rsidP="0062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1B" w:rsidRPr="0062771B" w:rsidRDefault="0062771B" w:rsidP="0062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1B" w:rsidRPr="0062771B" w:rsidRDefault="0062771B" w:rsidP="0062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1B" w:rsidRPr="0062771B" w:rsidRDefault="0062771B" w:rsidP="0062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1B" w:rsidRPr="0062771B" w:rsidRDefault="0062771B" w:rsidP="0062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1B" w:rsidRPr="0062771B" w:rsidRDefault="0062771B" w:rsidP="0062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1B" w:rsidRPr="0062771B" w:rsidRDefault="0062771B" w:rsidP="0062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1B" w:rsidRPr="0062771B" w:rsidRDefault="0062771B" w:rsidP="0062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1B" w:rsidRPr="0062771B" w:rsidRDefault="0062771B" w:rsidP="0062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1B" w:rsidRPr="0062771B" w:rsidRDefault="0062771B" w:rsidP="0062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1B" w:rsidRPr="0062771B" w:rsidRDefault="0062771B" w:rsidP="0062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1B" w:rsidRPr="0062771B" w:rsidRDefault="0062771B" w:rsidP="0062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план реализации включает в себя следующие мероприятия:</w:t>
      </w:r>
    </w:p>
    <w:p w:rsidR="0062771B" w:rsidRPr="0062771B" w:rsidRDefault="0062771B" w:rsidP="0062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В сфере профилактики незаконного оборота алкогольной продукции, а также с целью выявления фактов реализации спиртосодержащей жидкости не соответствующей требованиям безопасности для жизни и здоровья проводить исследования спиртосодержащей жидкости, промышленных и продовольственных товаров для установления их соответствия качества продукта. С целью профилактики незаконного оборота наркотических средств и их аналогов проводить медицинское освидетельствование граждан с признаками наркотического опьянения -  выделено 30 000 рублей. Заключен договор на оказание медицинских услуг (освидетельствование граждан с признаками наркотического опьянения) с </w:t>
      </w:r>
      <w:r w:rsidR="0058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ГБУЗ </w:t>
      </w:r>
      <w:proofErr w:type="gramStart"/>
      <w:r w:rsidR="0058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58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«Артемовская ЦРБ»</w:t>
      </w:r>
      <w:r w:rsidRPr="0062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30 000 рублей.</w:t>
      </w:r>
    </w:p>
    <w:p w:rsidR="0062771B" w:rsidRPr="0062771B" w:rsidRDefault="0062771B" w:rsidP="0062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Изготовление социальной рекламы по профилактике квартирных краж, безопасности дорожного движения, грабежей и т.д. – выделено 40 000 рублей. Заключен муниципальный контракт на установку социальной рекламы по правилам перевозки детей в автомобиле вблизи ТЦ «Радуга» (ул. Молодежи, 1) на сумму 2500 руб. Остальные деньги будут реализованы до </w:t>
      </w:r>
      <w:r w:rsidRPr="0062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17.11.2016 по приобретению </w:t>
      </w:r>
      <w:proofErr w:type="spellStart"/>
      <w:r w:rsidRPr="0062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световозвращателей</w:t>
      </w:r>
      <w:proofErr w:type="spellEnd"/>
      <w:r w:rsidRPr="0062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аукцион. Поставка товара произведена 17.11.2016. </w:t>
      </w:r>
    </w:p>
    <w:p w:rsidR="0062771B" w:rsidRPr="0062771B" w:rsidRDefault="0062771B" w:rsidP="0062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и распространение наглядной агитации для населения по вопросам профилактики правонарушений – выделено 30 000 рублей. Заключен муниципальный контракт по закупке светоотражателей для обра</w:t>
      </w:r>
      <w:r w:rsidR="00E5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зовательных учреждений</w:t>
      </w:r>
      <w:r w:rsidRPr="0062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Поставка товара произведена 17.11.2016.</w:t>
      </w:r>
    </w:p>
    <w:p w:rsidR="0062771B" w:rsidRPr="0062771B" w:rsidRDefault="0062771B" w:rsidP="0062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населения по телевидению о результатах деят</w:t>
      </w:r>
      <w:r w:rsidR="0097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 органов внутренних дел</w:t>
      </w:r>
      <w:r w:rsidRPr="0062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проведение тематических телепередач по проблемам подростковой преступности, </w:t>
      </w:r>
      <w:r w:rsidR="0097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наркомании и токсикомании среди </w:t>
      </w:r>
      <w:r w:rsidRPr="0062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молодежи, детского дорожно-транспортного травматизма, профилактики правонарушений по ПДД – выделено 50 000 рублей. Освоено 50 000 рублей, через аукцион заключен контракт с </w:t>
      </w:r>
      <w:r w:rsidR="0097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62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Альтекс</w:t>
      </w:r>
      <w:proofErr w:type="spellEnd"/>
      <w:r w:rsidRPr="0062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-Медиа</w:t>
      </w:r>
      <w:r w:rsidR="0097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2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изготовление 6 фото-видео сюжетов по безопасности дорожного движения – для использования в как СМИ, так и в образовательных учреждениях.</w:t>
      </w:r>
    </w:p>
    <w:p w:rsidR="0062771B" w:rsidRPr="0062771B" w:rsidRDefault="0062771B" w:rsidP="0062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 несовершеннолетними правовых викторин и олимпиад, конкурсов в образовательных учреждениях, приобретение призов для несовершеннолетних – выделено 50 000 рублей. Заключен муниципальный контракт по закупке светоотражателей для обра</w:t>
      </w:r>
      <w:r w:rsidR="0091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зовательных учреждений</w:t>
      </w:r>
      <w:r w:rsidRPr="0062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Поставка товара произведена 17.11.2016.</w:t>
      </w:r>
    </w:p>
    <w:p w:rsidR="0062771B" w:rsidRPr="0062771B" w:rsidRDefault="0062771B" w:rsidP="0062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Приобретение методической литературы и наглядных пособий для использования в работе по профилактике правонарушений среди несовершеннолетних и формированию их правосознания – выделено 125 900 рублей. </w:t>
      </w:r>
      <w:proofErr w:type="gramStart"/>
      <w:r w:rsidRPr="0062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 договор от 10.06.2016 № 688/10 с ООО «Зарница» на приобретение учебного оборудования для использования в работе по профилактике правонарушений среди учащихся образовательных учреждений на сумму 125 900 (магнитно-маркерная доска «Азбука дорожного движения, комплект тематических магнитов «Дорожные знак», комплект стендов 700х1000, комплект «Дорожные знаки» на железных стойках, стенды «Правила дорожного движения для шк</w:t>
      </w:r>
      <w:r w:rsidR="0043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ольников», пособия «Помощник юного велосипедиста», </w:t>
      </w:r>
      <w:r w:rsidRPr="0062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электрифицированная модель транспортного</w:t>
      </w:r>
      <w:proofErr w:type="gramEnd"/>
      <w:r w:rsidRPr="0062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пешеходного светофора).</w:t>
      </w:r>
    </w:p>
    <w:p w:rsidR="0062771B" w:rsidRPr="0062771B" w:rsidRDefault="0062771B" w:rsidP="0062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денежные средства</w:t>
      </w:r>
      <w:r w:rsidR="0043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выделенные на профилактику правонарушений</w:t>
      </w:r>
      <w:r w:rsidR="0043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освоены в полном объеме.</w:t>
      </w:r>
    </w:p>
    <w:p w:rsidR="0062771B" w:rsidRPr="0062771B" w:rsidRDefault="0062771B" w:rsidP="0062771B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62771B" w:rsidRPr="0062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09"/>
    <w:rsid w:val="0018664A"/>
    <w:rsid w:val="00204B09"/>
    <w:rsid w:val="0026381D"/>
    <w:rsid w:val="00433598"/>
    <w:rsid w:val="0058690E"/>
    <w:rsid w:val="005E125E"/>
    <w:rsid w:val="0062771B"/>
    <w:rsid w:val="00915645"/>
    <w:rsid w:val="00975C49"/>
    <w:rsid w:val="00E5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2;&#1085;&#1072;&#1083;&#1080;&#1079;\2016\&#1084;&#1072;&#1088;&#1090;\&#1044;&#1080;&#1072;&#1075;&#1088;&#1072;&#1084;&#1084;&#1099;\&#1076;&#1080;&#1072;&#1075;&#1088;&#1072;&#1084;&#1084;&#1099;%202014&#1075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2.046947550783108E-2"/>
          <c:y val="3.0789641447991862E-2"/>
          <c:w val="0.65353534880672604"/>
          <c:h val="0.81538517203949068"/>
        </c:manualLayout>
      </c:layout>
      <c:barChart>
        <c:barDir val="bar"/>
        <c:grouping val="clustered"/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1"/>
          <c:dPt>
            <c:idx val="1"/>
            <c:invertIfNegative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1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1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1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1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General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'2005'!$A$106:$A$111</c:f>
              <c:strCache>
                <c:ptCount val="5"/>
                <c:pt idx="0">
                  <c:v>по линии НОН</c:v>
                </c:pt>
                <c:pt idx="1">
                  <c:v>социальная реклама</c:v>
                </c:pt>
                <c:pt idx="2">
                  <c:v>наглядная агитация</c:v>
                </c:pt>
                <c:pt idx="3">
                  <c:v>СМИ</c:v>
                </c:pt>
                <c:pt idx="4">
                  <c:v>на профилактику несовершенолетних</c:v>
                </c:pt>
              </c:strCache>
            </c:strRef>
          </c:cat>
          <c:val>
            <c:numRef>
              <c:f>'2005'!$B$106:$B$111</c:f>
              <c:numCache>
                <c:formatCode>General</c:formatCode>
                <c:ptCount val="6"/>
                <c:pt idx="0">
                  <c:v>30</c:v>
                </c:pt>
                <c:pt idx="1">
                  <c:v>40</c:v>
                </c:pt>
                <c:pt idx="2">
                  <c:v>30</c:v>
                </c:pt>
                <c:pt idx="3">
                  <c:v>50</c:v>
                </c:pt>
                <c:pt idx="4">
                  <c:v>170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751488"/>
        <c:axId val="150786048"/>
      </c:barChart>
      <c:catAx>
        <c:axId val="150751488"/>
        <c:scaling>
          <c:orientation val="minMax"/>
        </c:scaling>
        <c:delete val="1"/>
        <c:axPos val="l"/>
        <c:numFmt formatCode="General" sourceLinked="1"/>
        <c:majorTickMark val="cross"/>
        <c:minorTickMark val="cross"/>
        <c:tickLblPos val="nextTo"/>
        <c:crossAx val="150786048"/>
        <c:crosses val="autoZero"/>
        <c:auto val="1"/>
        <c:lblAlgn val="ctr"/>
        <c:lblOffset val="100"/>
        <c:noMultiLvlLbl val="1"/>
      </c:catAx>
      <c:valAx>
        <c:axId val="150786048"/>
        <c:scaling>
          <c:orientation val="minMax"/>
        </c:scaling>
        <c:delete val="1"/>
        <c:axPos val="b"/>
        <c:majorGridlines/>
        <c:numFmt formatCode="General" sourceLinked="1"/>
        <c:majorTickMark val="cross"/>
        <c:minorTickMark val="cross"/>
        <c:tickLblPos val="nextTo"/>
        <c:crossAx val="1507514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654160876949248"/>
          <c:y val="4.5006561679790053E-3"/>
          <c:w val="0.26345839123050813"/>
          <c:h val="0.99549934383202066"/>
        </c:manualLayout>
      </c:layout>
      <c:overlay val="1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1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Брюхов</dc:creator>
  <cp:lastModifiedBy>Наталья А. Ушакова</cp:lastModifiedBy>
  <cp:revision>3</cp:revision>
  <dcterms:created xsi:type="dcterms:W3CDTF">2017-04-17T07:31:00Z</dcterms:created>
  <dcterms:modified xsi:type="dcterms:W3CDTF">2017-04-17T07:39:00Z</dcterms:modified>
</cp:coreProperties>
</file>