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W w:w="10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39"/>
      </w:tblGrid>
      <w:tr>
        <w:trPr/>
        <w:tc>
          <w:tcPr>
            <w:tcW w:w="10339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drawing>
                <wp:inline distT="0" distB="0" distL="0" distR="0">
                  <wp:extent cx="4229100" cy="2885440"/>
                  <wp:effectExtent l="0" t="0" r="0" b="0"/>
                  <wp:docPr id="1" name="Рисунок 3" descr="Пожар на улице Аппаратная. Екатеринбург, пожар, тушение, огонь, пожар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Пожар на улице Аппаратная. Екатеринбург, пожар, тушение, огонь, пожар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8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kern w:val="0"/>
                <w:sz w:val="28"/>
                <w:szCs w:val="28"/>
                <w:lang w:val="ru-RU" w:bidi="ar-SA"/>
              </w:rPr>
              <w:t>Внимание! На территории Свердловской области с 15 апреля 2023 года установлен особый противопожарный режим.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8"/>
                <w:szCs w:val="28"/>
                <w:lang w:val="ru-RU" w:bidi="ar-SA"/>
              </w:rPr>
              <w:t>На территории Артемовского городского округа особый противопожарный режим установлен с 14 апреля 2023 года.</w:t>
            </w:r>
          </w:p>
          <w:p>
            <w:pPr>
              <w:pStyle w:val="Normal"/>
              <w:widowControl/>
              <w:spacing w:before="0" w:after="0"/>
              <w:ind w:firstLine="5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 период действия особого противопожарного режима на территории региона </w:t>
            </w:r>
            <w:r>
              <w:rPr>
                <w:rFonts w:eastAsia="Calibri" w:cs="Liberation Serif" w:ascii="Liberation Serif" w:hAnsi="Liberation Serif"/>
                <w:b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ЗАПРЕЩЕНО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использование открытого огня, сжигание мусора, сухой растительности, разведение костров в металлических емкостях, бочках. </w:t>
            </w:r>
            <w:r>
              <w:rPr>
                <w:rFonts w:eastAsia="Calibri" w:cs="Liberation Serif" w:ascii="Liberation Serif" w:hAnsi="Liberation Serif"/>
                <w:color w:val="1A1A1A"/>
                <w:spacing w:val="-6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Во время действия режима запрещено пользоваться мобильными мангалами даже на территории собственного дачного или садового участка. Допускается использование только стационарных мангалов или печей, сконструированных с соблюдением требований пожарной безопасности.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Также нельзя проводить любые пожароопасные работы на землях лесного фонда, сельскохозяйственного назначения, промышленных предприятий, обороны и иного специального назначения и в населенных пунктах. Введен запрет </w:t>
            </w:r>
            <w:r>
              <w:rPr>
                <w:rFonts w:eastAsia="Calibri" w:cs="Liberation Serif" w:ascii="Liberation Serif" w:hAnsi="Liberation Serif"/>
                <w:color w:val="1A1A1A"/>
                <w:spacing w:val="-6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на организацию стоянок и ночлега туристических групп вне специально отведенных мест. 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firstLine="54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назначения, на территориях садоводства или огородничества,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 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запрещается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устраивать свалки горючих отходов.</w:t>
            </w:r>
          </w:p>
          <w:p>
            <w:pPr>
              <w:pStyle w:val="NormalWeb"/>
              <w:widowControl/>
              <w:shd w:val="clear" w:color="auto" w:fill="FFFFFF"/>
              <w:spacing w:lineRule="atLeast" w:line="420" w:beforeAutospacing="0" w:before="0" w:afterAutospacing="0" w:after="420"/>
              <w:jc w:val="left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cs="Segoe UI" w:ascii="Segoe UI" w:hAnsi="Segoe UI"/>
                <w:color w:val="000000"/>
                <w:kern w:val="0"/>
                <w:sz w:val="27"/>
                <w:szCs w:val="27"/>
                <w:lang w:val="ru-RU" w:bidi="ar-SA"/>
              </w:rPr>
            </w:r>
          </w:p>
        </w:tc>
      </w:tr>
    </w:tbl>
    <w:p>
      <w:pPr>
        <w:pStyle w:val="NormalWeb"/>
        <w:shd w:val="clear" w:color="auto" w:fill="FFFFFF"/>
        <w:spacing w:lineRule="atLeast" w:line="420" w:beforeAutospacing="0" w:before="0" w:afterAutospacing="0" w:after="420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  <w:t xml:space="preserve">   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Нарушителям требований пожарной безопасности в условиях </w:t>
      </w:r>
      <w:hyperlink r:id="rId3">
        <w:r>
          <w:rPr>
            <w:rFonts w:cs="Liberation Serif" w:ascii="Liberation Serif" w:hAnsi="Liberation Serif"/>
            <w:color w:val="000000"/>
            <w:sz w:val="28"/>
            <w:szCs w:val="28"/>
          </w:rPr>
          <w:t>особого противопожарного режима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грозят штрафы: на  гражданина в размере от 10 тысяч до 20 тысяч рублей; на должностных лиц - от 30 тысяч до 60 тысяч рублей; на лиц, осуществляющих предпринимательскую деятельность без образования юридического лица, - от 60 тысяч до 80 тысяч рублей; на юридических лиц - от 400 тысяч до 800 тысяч рублей. (статья 20.4 Кодекса Российской Федерации об административных правонарушениях, от 30.12.2001 N 195-ФЗ (с изменениями от 14.04.2023).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Только с начала действия противопожарного режима на территории Артемовского городского округа было составлено 38 протоколов об административных правонарушениях за нарушение требований пожарной безопасности: по ст. 11.1 Закона Свердловской области «Об административных правонарушениях на территории Свердловской области» - 6 протоколов, по ч. 1 ст. 20.4 КоАП РФ – 19 протоколов, по ч. 2 ст. 20.4 КоАП РФ – 13 протоколов.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 возникновении пожара немедленно сообщить в пожарную охрану   или ЕДДС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по телефонам «101» или «112» (единый номер вызова экстренных оперативных служб на территории Российской Федерации), </w:t>
      </w:r>
      <w:r>
        <w:rPr>
          <w:rFonts w:cs="Liberation Serif" w:ascii="Liberation Serif" w:hAnsi="Liberation Serif"/>
          <w:bCs/>
          <w:sz w:val="28"/>
          <w:szCs w:val="28"/>
        </w:rPr>
        <w:t>а такж</w:t>
      </w:r>
      <w:r>
        <w:rPr>
          <w:rFonts w:cs="Liberation Serif" w:ascii="Liberation Serif" w:hAnsi="Liberation Serif"/>
          <w:b/>
          <w:bCs/>
          <w:sz w:val="28"/>
          <w:szCs w:val="28"/>
        </w:rPr>
        <w:t>е  2-47-44 (пожарная охрана), 2-40-44 (ЕДДС Артемовского городского округа).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  <w:t xml:space="preserve">Сводку ЧС и происшествий в Свердловской области можно посмотреть на сайт </w:t>
      </w:r>
      <w:hyperlink r:id="rId4">
        <w:r>
          <w:rPr>
            <w:rFonts w:cs="Segoe UI" w:ascii="Segoe UI" w:hAnsi="Segoe UI"/>
            <w:sz w:val="27"/>
            <w:szCs w:val="27"/>
          </w:rPr>
          <w:t>https://66.mchs.gov.ru/deyatelnost/press-centr/operativnaya-informaciya/svodka-chs-i-proisshestviy/5000712</w:t>
        </w:r>
      </w:hyperlink>
      <w:r>
        <w:rPr>
          <w:rFonts w:cs="Segoe UI" w:ascii="Segoe UI" w:hAnsi="Segoe UI"/>
          <w:color w:val="000000"/>
          <w:sz w:val="27"/>
          <w:szCs w:val="27"/>
        </w:rPr>
        <w:t xml:space="preserve">  или по </w:t>
      </w:r>
      <w:r>
        <w:rPr>
          <w:rFonts w:cs="Segoe UI" w:ascii="Segoe UI" w:hAnsi="Segoe UI"/>
          <w:color w:val="000000"/>
          <w:sz w:val="27"/>
          <w:szCs w:val="27"/>
          <w:lang w:val="en-US"/>
        </w:rPr>
        <w:t>Qr</w:t>
      </w:r>
      <w:r>
        <w:rPr>
          <w:rFonts w:cs="Segoe UI" w:ascii="Segoe UI" w:hAnsi="Segoe UI"/>
          <w:color w:val="000000"/>
          <w:sz w:val="27"/>
          <w:szCs w:val="27"/>
        </w:rPr>
        <w:t>-коду</w:t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/>
        <w:drawing>
          <wp:inline distT="0" distB="0" distL="0" distR="0">
            <wp:extent cx="1295400" cy="1295400"/>
            <wp:effectExtent l="0" t="0" r="0" b="0"/>
            <wp:docPr id="2" name="Рисунок 2" descr="C:\Users\Gashkova-ne\Downloads\Сводка ЧС и происшествий в Свердлов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Gashkova-ne\Downloads\Сводка ЧС и происшествий в Свердлов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"/>
        <w:ind w:firstLine="54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cs="Segoe UI" w:ascii="Segoe UI" w:hAnsi="Segoe UI"/>
          <w:color w:val="000000"/>
          <w:sz w:val="27"/>
          <w:szCs w:val="27"/>
        </w:rPr>
      </w:r>
    </w:p>
    <w:p>
      <w:pPr>
        <w:pStyle w:val="NormalWeb"/>
        <w:shd w:val="clear" w:color="auto" w:fill="FFFFFF"/>
        <w:spacing w:lineRule="atLeast" w:line="420" w:beforeAutospacing="0" w:before="0" w:afterAutospacing="0" w:after="42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50" w:gutter="0" w:header="0" w:top="720" w:footer="0" w:bottom="720"/>
      <w:pgNumType w:fmt="decimal"/>
      <w:formProt w:val="false"/>
      <w:vAlign w:val="both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57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768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47c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a22b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6657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97685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47cb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d1a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F1ECF955CAAB54C32A210F890BB6405C04B43BC5F91E052A64EECBAA3C9F0EAA4D6AFEE2C79DA378580CB13472F94CB83846B771705F1CDUFs2E" TargetMode="External"/><Relationship Id="rId4" Type="http://schemas.openxmlformats.org/officeDocument/2006/relationships/hyperlink" Target="https://66.mchs.gov.ru/deyatelnost/press-centr/operativnaya-informaciya/svodka-chs-i-proisshestviy/5000712" TargetMode="Externa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2</Pages>
  <Words>364</Words>
  <Characters>2573</Characters>
  <CharactersWithSpaces>2942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2023-05-03T06:42:00Z</dcterms:created>
  <dc:creator>Наталья Егоровна Гашкова</dc:creator>
  <dc:description/>
  <dc:language>ru-RU</dc:language>
  <cp:lastModifiedBy>Оксана Владимировна Сопова</cp:lastModifiedBy>
  <cp:lastPrinted>2023-04-26T05:40:00Z</cp:lastPrinted>
  <dcterms:modified xsi:type="dcterms:W3CDTF">2023-05-03T10:16:00Z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