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69" w:rsidRDefault="00653C5E">
      <w:pPr>
        <w:pStyle w:val="20"/>
        <w:shd w:val="clear" w:color="auto" w:fill="auto"/>
        <w:spacing w:after="244"/>
        <w:ind w:right="20"/>
      </w:pPr>
      <w:bookmarkStart w:id="0" w:name="_GoBack"/>
      <w:bookmarkEnd w:id="0"/>
      <w:r>
        <w:t>Информация о порядке направления заключений по результатам</w:t>
      </w:r>
      <w:r>
        <w:br/>
        <w:t>независимой антикоррупционной экспертизы проекта МНПА</w:t>
      </w:r>
    </w:p>
    <w:p w:rsidR="004A0A69" w:rsidRDefault="00653C5E">
      <w:pPr>
        <w:pStyle w:val="30"/>
        <w:shd w:val="clear" w:color="auto" w:fill="auto"/>
        <w:spacing w:before="0"/>
        <w:ind w:right="20"/>
      </w:pPr>
      <w:r>
        <w:t>Постановление Администрации Артемовского городского округа</w:t>
      </w:r>
      <w:r>
        <w:br/>
        <w:t>«О порядке разработки Стратегии социально-экономического развития</w:t>
      </w:r>
    </w:p>
    <w:p w:rsidR="004A0A69" w:rsidRDefault="00653C5E">
      <w:pPr>
        <w:pStyle w:val="30"/>
        <w:shd w:val="clear" w:color="auto" w:fill="auto"/>
        <w:spacing w:before="0" w:after="308" w:line="280" w:lineRule="exact"/>
        <w:ind w:right="20"/>
      </w:pPr>
      <w:r>
        <w:t xml:space="preserve">Артемовского </w:t>
      </w:r>
      <w:r>
        <w:t>городского округа»</w:t>
      </w:r>
    </w:p>
    <w:p w:rsidR="004A0A69" w:rsidRDefault="00653C5E">
      <w:pPr>
        <w:pStyle w:val="20"/>
        <w:shd w:val="clear" w:color="auto" w:fill="auto"/>
        <w:spacing w:after="0" w:line="317" w:lineRule="exact"/>
        <w:ind w:firstLine="780"/>
        <w:jc w:val="both"/>
      </w:pPr>
      <w:r>
        <w:t>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Артемовского городского округа в информационно - телекоммуникационной сети «Интернет</w:t>
      </w:r>
      <w:r>
        <w:t>» размещен проект муниципального нормативного правового акта</w:t>
      </w:r>
    </w:p>
    <w:p w:rsidR="004A0A69" w:rsidRDefault="00653C5E">
      <w:pPr>
        <w:pStyle w:val="30"/>
        <w:shd w:val="clear" w:color="auto" w:fill="auto"/>
        <w:spacing w:before="0"/>
        <w:ind w:right="20"/>
      </w:pPr>
      <w:r>
        <w:t>Постановление Администрации Артемовского городского округа</w:t>
      </w:r>
      <w:r>
        <w:br/>
        <w:t>«О порядке разработки Стратегии социально-экономического развития</w:t>
      </w:r>
    </w:p>
    <w:p w:rsidR="004A0A69" w:rsidRDefault="00653C5E">
      <w:pPr>
        <w:pStyle w:val="30"/>
        <w:shd w:val="clear" w:color="auto" w:fill="auto"/>
        <w:spacing w:before="0" w:after="248"/>
        <w:ind w:right="20"/>
      </w:pPr>
      <w:r>
        <w:t>Артемовского городского округа»</w:t>
      </w:r>
    </w:p>
    <w:p w:rsidR="004A0A69" w:rsidRDefault="00653C5E">
      <w:pPr>
        <w:pStyle w:val="20"/>
        <w:shd w:val="clear" w:color="auto" w:fill="auto"/>
        <w:spacing w:after="232" w:line="307" w:lineRule="exact"/>
        <w:ind w:firstLine="780"/>
        <w:jc w:val="both"/>
      </w:pPr>
      <w:r>
        <w:t>Дата начала приёма заключений по резул</w:t>
      </w:r>
      <w:r>
        <w:t xml:space="preserve">ьтатам независимой антикоррупционной экспертизы </w:t>
      </w:r>
      <w:r>
        <w:rPr>
          <w:rStyle w:val="21"/>
        </w:rPr>
        <w:t xml:space="preserve">- </w:t>
      </w:r>
      <w:r>
        <w:t>24.07.2017</w:t>
      </w:r>
    </w:p>
    <w:p w:rsidR="004A0A69" w:rsidRDefault="00653C5E">
      <w:pPr>
        <w:pStyle w:val="20"/>
        <w:shd w:val="clear" w:color="auto" w:fill="auto"/>
        <w:spacing w:after="244" w:line="317" w:lineRule="exact"/>
        <w:ind w:firstLine="780"/>
        <w:jc w:val="both"/>
      </w:pPr>
      <w:r>
        <w:t>Дата окончания приёма заключений по результатам независимой антикоррупционной экспертизы -01.08.2017</w:t>
      </w:r>
    </w:p>
    <w:p w:rsidR="004A0A69" w:rsidRDefault="00653C5E">
      <w:pPr>
        <w:pStyle w:val="20"/>
        <w:shd w:val="clear" w:color="auto" w:fill="auto"/>
        <w:spacing w:after="0" w:line="312" w:lineRule="exact"/>
        <w:ind w:firstLine="780"/>
        <w:jc w:val="both"/>
      </w:pPr>
      <w:r>
        <w:t xml:space="preserve">Заключения по результатам независимой антикоррупционной экспертизы проекта МНПА направлять на </w:t>
      </w:r>
      <w:r>
        <w:t>электронные адреса:</w:t>
      </w:r>
    </w:p>
    <w:p w:rsidR="004A0A69" w:rsidRDefault="00653C5E">
      <w:pPr>
        <w:pStyle w:val="20"/>
        <w:shd w:val="clear" w:color="auto" w:fill="auto"/>
        <w:spacing w:after="1076" w:line="312" w:lineRule="exact"/>
        <w:jc w:val="left"/>
      </w:pPr>
      <w:hyperlink r:id="rId7" w:history="1">
        <w:r>
          <w:rPr>
            <w:rStyle w:val="a3"/>
          </w:rPr>
          <w:t>expertiza.mnpa@artemovskv66.ru</w:t>
        </w:r>
      </w:hyperlink>
      <w:r w:rsidRPr="003C7763">
        <w:rPr>
          <w:lang w:eastAsia="en-US" w:bidi="en-US"/>
        </w:rPr>
        <w:t xml:space="preserve"> </w:t>
      </w:r>
      <w:r>
        <w:t xml:space="preserve">и </w:t>
      </w:r>
      <w:hyperlink r:id="rId8" w:history="1">
        <w:r>
          <w:rPr>
            <w:rStyle w:val="a3"/>
            <w:lang w:val="en-US" w:eastAsia="en-US" w:bidi="en-US"/>
          </w:rPr>
          <w:t>gladisheva</w:t>
        </w:r>
        <w:r w:rsidRPr="003C776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</w:t>
        </w:r>
        <w:r w:rsidRPr="003C776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a</w:t>
        </w:r>
        <w:r w:rsidRPr="003C7763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artemovsky</w:t>
        </w:r>
        <w:r w:rsidRPr="003C7763">
          <w:rPr>
            <w:rStyle w:val="a3"/>
            <w:lang w:eastAsia="en-US" w:bidi="en-US"/>
          </w:rPr>
          <w:t>66.</w:t>
        </w:r>
        <w:r>
          <w:rPr>
            <w:rStyle w:val="a3"/>
            <w:lang w:val="en-US" w:eastAsia="en-US" w:bidi="en-US"/>
          </w:rPr>
          <w:t>ru</w:t>
        </w:r>
      </w:hyperlink>
    </w:p>
    <w:p w:rsidR="004A0A69" w:rsidRDefault="003C7763">
      <w:pPr>
        <w:pStyle w:val="20"/>
        <w:shd w:val="clear" w:color="auto" w:fill="auto"/>
        <w:spacing w:after="0" w:line="317" w:lineRule="exact"/>
        <w:jc w:val="left"/>
      </w:pPr>
      <w:r>
        <w:rPr>
          <w:noProof/>
          <w:lang w:bidi="ar-SA"/>
        </w:rPr>
        <w:drawing>
          <wp:anchor distT="0" distB="254000" distL="326390" distR="1957070" simplePos="0" relativeHeight="377487104" behindDoc="1" locked="0" layoutInCell="1" allowOverlap="1">
            <wp:simplePos x="0" y="0"/>
            <wp:positionH relativeFrom="margin">
              <wp:posOffset>3002280</wp:posOffset>
            </wp:positionH>
            <wp:positionV relativeFrom="paragraph">
              <wp:posOffset>24130</wp:posOffset>
            </wp:positionV>
            <wp:extent cx="987425" cy="816610"/>
            <wp:effectExtent l="0" t="0" r="3175" b="2540"/>
            <wp:wrapSquare wrapText="left"/>
            <wp:docPr id="2" name="Рисунок 2" descr="C:\Users\ket9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t9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561975" distB="294640" distL="2225040" distR="63500" simplePos="0" relativeHeight="377487105" behindDoc="1" locked="0" layoutInCell="1" allowOverlap="1">
                <wp:simplePos x="0" y="0"/>
                <wp:positionH relativeFrom="margin">
                  <wp:posOffset>4900930</wp:posOffset>
                </wp:positionH>
                <wp:positionV relativeFrom="paragraph">
                  <wp:posOffset>586105</wp:posOffset>
                </wp:positionV>
                <wp:extent cx="1045210" cy="177800"/>
                <wp:effectExtent l="0" t="0" r="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A69" w:rsidRDefault="00653C5E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О.С.Бахарева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5.9pt;margin-top:46.15pt;width:82.3pt;height:14pt;z-index:-125829375;visibility:visible;mso-wrap-style:square;mso-width-percent:0;mso-height-percent:0;mso-wrap-distance-left:175.2pt;mso-wrap-distance-top:44.25pt;mso-wrap-distance-right:5pt;mso-wrap-distance-bottom:23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6ZtrQ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xgJ2kKLHthg0K0c0KWtTt/pBJzuO3AzA2xbT5up7u5k8V0jIdc1FTt2o5Tsa0ZLYBfYm/6zqyOO&#10;tiDb/pMsIQzdG+mAhkq1FhCKgQAduvR46oylUtiQJJqFARwVcBYsFkviWufTZLrdKW0+MNkia6RY&#10;QecdOj3caWPZ0GRyscGEzHnTuO434sUGOI47EBuu2jPLwjXzKSbxZrlZRl4UzjdeRLLMu8nXkTfP&#10;g8Usu8zW6yz4ZeMGUVLzsmTChpmEFUR/1rijxEdJnKSlZcNLC2cpabXbrhuFDhSEnbvP1RxOzm7+&#10;SxquCJDLq5SCMCK3Yezl8+XCi/Jo5sULsvRIEN/GcxLFUZa/TOmOC/bvKaE+xfEsnI1iOpN+lRtx&#10;39vcaNJyA6Oj4W2KQQ7wWSeaWAluROlsQ3kz2s9KYemfSwHtnhrtBGs1OqrVDNsBUKyKt7J8BOkq&#10;CcoCEcK8A6OW6idGPcyOFOsfe6oYRs1HAfK3g2Yy1GRsJ4OKAq6m2GA0mmszDqR9p/iuBuTpgd3A&#10;E8m5U++ZxfFhwTxwSRxnlx04z/+d13nCrn4DAAD//wMAUEsDBBQABgAIAAAAIQCV65Ho3gAAAAoB&#10;AAAPAAAAZHJzL2Rvd25yZXYueG1sTI+7TsQwEEV7JP7BGiQaxDoPlCUhzgohaOhYaOi88ZBE2OMo&#10;9iZhv56hYsvRPbr3TL1bnRUzTmHwpCDdJCCQWm8G6hR8vL/c3oMIUZPR1hMq+MEAu+byotaV8Qu9&#10;4byPneASCpVW0Mc4VlKGtkenw8aPSJx9+cnpyOfUSTPphcudlVmSFNLpgXih1yM+9dh+749OQbE+&#10;jzevJWbLqbUzfZ7SNGKq1PXV+vgAIuIa/2H402d1aNjp4I9kgrAKttuU1aOCMstBMFDmxR2IA5NZ&#10;koNsann+QvMLAAD//wMAUEsBAi0AFAAGAAgAAAAhALaDOJL+AAAA4QEAABMAAAAAAAAAAAAAAAAA&#10;AAAAAFtDb250ZW50X1R5cGVzXS54bWxQSwECLQAUAAYACAAAACEAOP0h/9YAAACUAQAACwAAAAAA&#10;AAAAAAAAAAAvAQAAX3JlbHMvLnJlbHNQSwECLQAUAAYACAAAACEAWPemba0CAACpBQAADgAAAAAA&#10;AAAAAAAAAAAuAgAAZHJzL2Uyb0RvYy54bWxQSwECLQAUAAYACAAAACEAleuR6N4AAAAKAQAADwAA&#10;AAAAAAAAAAAAAAAHBQAAZHJzL2Rvd25yZXYueG1sUEsFBgAAAAAEAAQA8wAAABIGAAAAAA==&#10;" filled="f" stroked="f">
                <v:textbox style="mso-fit-shape-to-text:t" inset="0,0,0,0">
                  <w:txbxContent>
                    <w:p w:rsidR="004A0A69" w:rsidRDefault="00653C5E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О.С.Бахарева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53C5E">
        <w:t xml:space="preserve">Заведующий отделом экономики, инвестиций и </w:t>
      </w:r>
      <w:r w:rsidR="00653C5E">
        <w:t>развития Администрации Артемовского городского округа</w:t>
      </w:r>
    </w:p>
    <w:sectPr w:rsidR="004A0A69">
      <w:pgSz w:w="11900" w:h="16840"/>
      <w:pgMar w:top="1906" w:right="620" w:bottom="1906" w:left="18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5E" w:rsidRDefault="00653C5E">
      <w:r>
        <w:separator/>
      </w:r>
    </w:p>
  </w:endnote>
  <w:endnote w:type="continuationSeparator" w:id="0">
    <w:p w:rsidR="00653C5E" w:rsidRDefault="0065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5E" w:rsidRDefault="00653C5E"/>
  </w:footnote>
  <w:footnote w:type="continuationSeparator" w:id="0">
    <w:p w:rsidR="00653C5E" w:rsidRDefault="00653C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69"/>
    <w:rsid w:val="003C7763"/>
    <w:rsid w:val="004A0A69"/>
    <w:rsid w:val="0065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disheva.t.a@artemovsky6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pertiza.mnpa@artemovskv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1</cp:revision>
  <dcterms:created xsi:type="dcterms:W3CDTF">2017-07-21T11:43:00Z</dcterms:created>
  <dcterms:modified xsi:type="dcterms:W3CDTF">2017-07-21T11:44:00Z</dcterms:modified>
</cp:coreProperties>
</file>