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2E" w:rsidRPr="00F9332E" w:rsidRDefault="00F9332E" w:rsidP="00F9332E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F9332E">
        <w:rPr>
          <w:noProof/>
          <w:sz w:val="20"/>
          <w:szCs w:val="20"/>
          <w:lang w:eastAsia="ru-RU"/>
        </w:rPr>
        <w:drawing>
          <wp:inline distT="0" distB="0" distL="0" distR="0" wp14:anchorId="3282D7F8" wp14:editId="60A40F5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32E" w:rsidRPr="00F9332E" w:rsidRDefault="00F9332E" w:rsidP="00F9332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F9332E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9332E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F9332E" w:rsidRPr="00F9332E" w:rsidRDefault="00F9332E" w:rsidP="00F9332E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9332E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F9332E" w:rsidRPr="00F9332E" w:rsidRDefault="00F9332E" w:rsidP="00F9332E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F9332E" w:rsidRPr="00F9332E" w:rsidRDefault="00F9332E" w:rsidP="00F9332E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F9332E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15.10.2021</w:t>
      </w:r>
      <w:r w:rsidRPr="00F9332E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895</w:t>
      </w:r>
      <w:r w:rsidRPr="00F9332E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8B4EC4" w:rsidRDefault="008B4EC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8B4EC4" w:rsidRDefault="008B4EC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 w:rsidRPr="00BC08A5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BC08A5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и 202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годов</w:t>
      </w:r>
    </w:p>
    <w:p w:rsidR="00543B86" w:rsidRPr="00BC08A5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№ 839-ПА</w:t>
      </w:r>
      <w:r w:rsidR="006635D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635DD" w:rsidRPr="006635DD">
        <w:rPr>
          <w:rFonts w:ascii="Liberation Serif" w:hAnsi="Liberation Serif"/>
          <w:sz w:val="28"/>
          <w:szCs w:val="28"/>
          <w:lang w:eastAsia="ru-RU"/>
        </w:rPr>
        <w:t>(с изменениями)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br/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(с изменениями),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принимая во внимание Прогноз социально-экономического развития Свердловской области на среднесрочный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1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-202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 годов, одобренный Постановлением Правительства Свердловской области от </w:t>
      </w:r>
      <w:r w:rsidR="006635DD">
        <w:rPr>
          <w:rFonts w:ascii="Liberation Serif" w:hAnsi="Liberation Serif"/>
          <w:sz w:val="28"/>
          <w:szCs w:val="28"/>
          <w:lang w:eastAsia="ru-RU"/>
        </w:rPr>
        <w:t>29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.10.20</w:t>
      </w:r>
      <w:r w:rsidR="006635DD">
        <w:rPr>
          <w:rFonts w:ascii="Liberation Serif" w:hAnsi="Liberation Serif"/>
          <w:sz w:val="28"/>
          <w:szCs w:val="28"/>
          <w:lang w:eastAsia="ru-RU"/>
        </w:rPr>
        <w:t>20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 № 7</w:t>
      </w:r>
      <w:r w:rsidR="006635DD">
        <w:rPr>
          <w:rFonts w:ascii="Liberation Serif" w:hAnsi="Liberation Serif"/>
          <w:sz w:val="28"/>
          <w:szCs w:val="28"/>
          <w:lang w:eastAsia="ru-RU"/>
        </w:rPr>
        <w:t>70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-ПП, руководствуясь 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37574C" w:rsidRPr="00BC08A5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овского городского округа на 202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(Приложение).</w:t>
      </w:r>
    </w:p>
    <w:p w:rsidR="0037574C" w:rsidRPr="00BC08A5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2.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Финансовому управлению Администрации Артемовского городского округа (</w:t>
      </w:r>
      <w:r w:rsidR="006635DD">
        <w:rPr>
          <w:rFonts w:ascii="Liberation Serif" w:hAnsi="Liberation Serif"/>
          <w:sz w:val="28"/>
          <w:szCs w:val="28"/>
          <w:lang w:eastAsia="ru-RU"/>
        </w:rPr>
        <w:t>Шиленко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635DD">
        <w:rPr>
          <w:rFonts w:ascii="Liberation Serif" w:hAnsi="Liberation Serif"/>
          <w:sz w:val="28"/>
          <w:szCs w:val="28"/>
          <w:lang w:eastAsia="ru-RU"/>
        </w:rPr>
        <w:t>Н.Н.</w:t>
      </w:r>
      <w:r w:rsidRPr="00BC08A5">
        <w:rPr>
          <w:rFonts w:ascii="Liberation Serif" w:hAnsi="Liberation Serif"/>
          <w:sz w:val="28"/>
          <w:szCs w:val="28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при формировании проекта бюджета </w:t>
      </w:r>
      <w:r w:rsidRPr="00BC08A5">
        <w:rPr>
          <w:rFonts w:ascii="Liberation Serif" w:hAnsi="Liberation Serif"/>
          <w:sz w:val="28"/>
          <w:szCs w:val="28"/>
          <w:lang w:eastAsia="ru-RU"/>
        </w:rPr>
        <w:lastRenderedPageBreak/>
        <w:t>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годов. </w:t>
      </w:r>
    </w:p>
    <w:p w:rsidR="0037574C" w:rsidRPr="00BC08A5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</w:t>
      </w:r>
      <w:r w:rsidR="00E31A86">
        <w:rPr>
          <w:rFonts w:ascii="Liberation Serif" w:hAnsi="Liberation Serif"/>
          <w:sz w:val="28"/>
          <w:szCs w:val="28"/>
          <w:lang w:eastAsia="ru-RU"/>
        </w:rPr>
        <w:t>,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 разместить на</w:t>
      </w:r>
      <w:r w:rsidR="006F0E7D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6F0E7D" w:rsidRPr="00BC08A5">
          <w:rPr>
            <w:rStyle w:val="aa"/>
            <w:rFonts w:ascii="Liberation Serif" w:hAnsi="Liberation Serif"/>
            <w:sz w:val="28"/>
            <w:szCs w:val="28"/>
            <w:lang w:val="en-US" w:eastAsia="ru-RU"/>
          </w:rPr>
          <w:t>www</w:t>
        </w:r>
        <w:r w:rsidR="006F0E7D" w:rsidRPr="00BC08A5">
          <w:rPr>
            <w:rStyle w:val="aa"/>
            <w:rFonts w:ascii="Liberation Serif" w:hAnsi="Liberation Serif"/>
            <w:sz w:val="28"/>
            <w:szCs w:val="28"/>
            <w:lang w:eastAsia="ru-RU"/>
          </w:rPr>
          <w:t>.артемовский-</w:t>
        </w:r>
        <w:proofErr w:type="spellStart"/>
        <w:r w:rsidR="006F0E7D" w:rsidRPr="00BC08A5">
          <w:rPr>
            <w:rStyle w:val="aa"/>
            <w:rFonts w:ascii="Liberation Serif" w:hAnsi="Liberation Serif"/>
            <w:sz w:val="28"/>
            <w:szCs w:val="28"/>
            <w:lang w:eastAsia="ru-RU"/>
          </w:rPr>
          <w:t>право.рф</w:t>
        </w:r>
        <w:proofErr w:type="spellEnd"/>
      </w:hyperlink>
      <w:r w:rsidR="006F0E7D" w:rsidRPr="00BC08A5">
        <w:rPr>
          <w:rFonts w:ascii="Liberation Serif" w:hAnsi="Liberation Serif"/>
          <w:sz w:val="28"/>
          <w:szCs w:val="28"/>
          <w:lang w:eastAsia="ru-RU"/>
        </w:rPr>
        <w:t>)</w:t>
      </w:r>
      <w:r w:rsidR="00E31A86">
        <w:rPr>
          <w:rFonts w:ascii="Liberation Serif" w:hAnsi="Liberation Serif"/>
          <w:sz w:val="28"/>
          <w:szCs w:val="28"/>
          <w:lang w:eastAsia="ru-RU"/>
        </w:rPr>
        <w:t xml:space="preserve"> и</w:t>
      </w:r>
      <w:r w:rsidR="006F0E7D" w:rsidRPr="00BC08A5">
        <w:rPr>
          <w:rFonts w:ascii="Liberation Serif" w:hAnsi="Liberation Serif"/>
          <w:sz w:val="28"/>
          <w:szCs w:val="28"/>
          <w:lang w:eastAsia="ru-RU"/>
        </w:rPr>
        <w:t xml:space="preserve"> на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C08A5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</w:t>
      </w:r>
      <w:r w:rsidR="00395451">
        <w:rPr>
          <w:rFonts w:ascii="Liberation Serif" w:hAnsi="Liberation Serif"/>
          <w:sz w:val="28"/>
          <w:szCs w:val="28"/>
          <w:lang w:eastAsia="ru-RU"/>
        </w:rPr>
        <w:t>возложить на п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>ерв</w:t>
      </w:r>
      <w:r w:rsidR="00395451">
        <w:rPr>
          <w:rFonts w:ascii="Liberation Serif" w:hAnsi="Liberation Serif"/>
          <w:sz w:val="28"/>
          <w:szCs w:val="28"/>
          <w:lang w:eastAsia="ru-RU"/>
        </w:rPr>
        <w:t>ого заместителя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 xml:space="preserve"> главы Администрации Артемовского городского округа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Черемных</w:t>
      </w:r>
      <w:r w:rsidR="00395451" w:rsidRPr="0039545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Н.А.</w:t>
      </w:r>
    </w:p>
    <w:p w:rsidR="00A01D44" w:rsidRPr="00BC08A5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BC08A5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7D3873" w:rsidRPr="00BC08A5" w:rsidTr="00395451">
        <w:tc>
          <w:tcPr>
            <w:tcW w:w="5353" w:type="dxa"/>
            <w:hideMark/>
          </w:tcPr>
          <w:p w:rsidR="007D3873" w:rsidRPr="00BC08A5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3861" w:type="dxa"/>
          </w:tcPr>
          <w:p w:rsidR="007D3873" w:rsidRPr="00BC08A5" w:rsidRDefault="00395451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К.М. Троф</w:t>
            </w:r>
            <w:r w:rsidR="00A8743A"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мов</w:t>
            </w:r>
          </w:p>
          <w:p w:rsidR="007D3873" w:rsidRPr="00BC08A5" w:rsidRDefault="007D3873" w:rsidP="007D3873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F9332E" w:rsidRDefault="00F9332E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F9332E" w:rsidSect="00750105">
          <w:headerReference w:type="default" r:id="rId9"/>
          <w:pgSz w:w="11906" w:h="16838"/>
          <w:pgMar w:top="1134" w:right="991" w:bottom="1276" w:left="1843" w:header="708" w:footer="708" w:gutter="0"/>
          <w:cols w:space="708"/>
          <w:titlePg/>
          <w:docGrid w:linePitch="360"/>
        </w:sect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F9332E" w:rsidRPr="00F9332E" w:rsidTr="00AA69BE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Приложение </w:t>
            </w:r>
          </w:p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15.10.2021</w:t>
            </w:r>
            <w:r w:rsidRPr="00F9332E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895</w:t>
            </w:r>
            <w:bookmarkStart w:id="0" w:name="_GoBack"/>
            <w:bookmarkEnd w:id="0"/>
            <w:r w:rsidRPr="00F9332E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-ПА</w:t>
            </w:r>
          </w:p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F9332E" w:rsidRPr="00F9332E" w:rsidRDefault="00F9332E" w:rsidP="00F9332E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9332E" w:rsidRPr="00F9332E" w:rsidRDefault="00F9332E" w:rsidP="00F9332E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33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 социально-экономического развития Артемовского городского округа</w:t>
      </w:r>
    </w:p>
    <w:p w:rsidR="00F9332E" w:rsidRPr="00F9332E" w:rsidRDefault="00F9332E" w:rsidP="00F9332E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33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2022 год и плановый период 2023 и 2024 годов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760"/>
        <w:gridCol w:w="1228"/>
        <w:gridCol w:w="1307"/>
        <w:gridCol w:w="1276"/>
        <w:gridCol w:w="1276"/>
        <w:gridCol w:w="1276"/>
      </w:tblGrid>
      <w:tr w:rsidR="00F9332E" w:rsidRPr="00F9332E" w:rsidTr="00AA69BE">
        <w:trPr>
          <w:trHeight w:val="327"/>
        </w:trPr>
        <w:tc>
          <w:tcPr>
            <w:tcW w:w="6629" w:type="dxa"/>
            <w:vMerge w:val="restart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28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307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828" w:type="dxa"/>
            <w:gridSpan w:val="3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Прогноз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vMerge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vMerge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07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I. Финансы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1. Доходы, всего (строка 1.12 + </w:t>
            </w:r>
            <w:proofErr w:type="spellStart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стррока</w:t>
            </w:r>
            <w:proofErr w:type="spellEnd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1.13)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2 560,80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2 338,6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2 318,60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2 391,00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2 466,30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1.1.Прибыль прибыльных организаций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214,72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1.1.1. сальдо прибылей и убытков (</w:t>
            </w:r>
            <w:proofErr w:type="spellStart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154,50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190,00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Амортизационные отчисления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145,65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146,35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145,40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Налог на доходы физических лиц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414,90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565,9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672,10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719,30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776,50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Единый налог на вмененный доход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13,80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1.4.1 налоговая база (сумма исчисленного вмененного дохода)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Налог с патентной системы налогообложения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Земельный налог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 Единый сельскохозяйственный налог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1,20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1.7.1. налоговая база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Налог на имущество физических лиц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14,70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16,10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26,80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1.9. Прочие налоги и сборы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116,20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126,20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133,20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139,90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1.10. Неналоговые доходы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24,70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35,20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23,40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24,10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1.11. Прочие доходы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1.12. Итого доходов (сумма строк 1.3, 1.4, 1.5, 1.6, 1.7, 1.8, 1.9, 1.10, 1.11)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574,60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753,70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857,00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914,40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989,70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1.13. Средства, получаемые от вышестоящих уровней власти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1 986,20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1 584,90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1 461,60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1 476,60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1 476,60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Финансирование муниципальных программ (</w:t>
            </w:r>
            <w:proofErr w:type="spellStart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2 305,90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2 377,01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2 120,70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2 092,41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2 071,20</w:t>
            </w:r>
          </w:p>
        </w:tc>
      </w:tr>
      <w:tr w:rsidR="00F9332E" w:rsidRPr="00F9332E" w:rsidTr="00AA69BE">
        <w:trPr>
          <w:trHeight w:val="979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3.1. Земельный налог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3.2. Налог на имущество физических лиц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II. Производственная деятельность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Оборот организаций (по полному кругу) по видам экономической деятельности, всего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14 228,41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14 369,98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14 564,37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14 815,23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15 092,08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348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Сельское хозяйство, охота и лесное хозяйство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722,20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729,42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736,72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744,08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751,52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Добыча полезных ископаемых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Обрабатывающие производства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4 397,12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4 485,06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4 574,76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4 666,26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4 759,58</w:t>
            </w:r>
          </w:p>
        </w:tc>
      </w:tr>
      <w:tr w:rsidR="00F9332E" w:rsidRPr="00F9332E" w:rsidTr="00AA69BE">
        <w:trPr>
          <w:trHeight w:val="39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5 535,15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5 590,50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5 646,41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5 702,87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5 759,90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1.5. </w:t>
            </w:r>
            <w:proofErr w:type="spellStart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Cтроительство</w:t>
            </w:r>
            <w:proofErr w:type="spellEnd"/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289,20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171,20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1 101,43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Оптовая и розничная торговля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3 473,02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3 577,21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3 684,53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3 795,06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3 908,92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 Транспортировка и хранение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651,77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658,29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664,87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671,52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678,23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7,90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III. Инвестиционная деятельность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proofErr w:type="spellStart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млн.руб</w:t>
            </w:r>
            <w:proofErr w:type="spellEnd"/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1 214,60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1 275,33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1 339,10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1 406,05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1 476,35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из них по отраслям экономики: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292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Сельское хозяйство, охота и лесное хозяйство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59,90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45,00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Добыча полезных ископаемых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Обрабатывающие производства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</w:tr>
      <w:tr w:rsidR="00F9332E" w:rsidRPr="00F9332E" w:rsidTr="00AA69BE">
        <w:trPr>
          <w:trHeight w:val="319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624,90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631,15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637,46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643,84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650,27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1.5. Строительство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133,00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135,00</w:t>
            </w:r>
          </w:p>
        </w:tc>
      </w:tr>
      <w:tr w:rsidR="00F9332E" w:rsidRPr="00F9332E" w:rsidTr="00AA69BE">
        <w:trPr>
          <w:trHeight w:val="358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Оптовая и розничная торговля, сфера услуг и развлечений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29,00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 Транспортировка и хранение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75,60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76,36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77,12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77,89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78,67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IV. Денежные доходы населения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445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Доходы населения муниципального образования, всего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10 911,37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11 227,80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11 553,41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11 888,45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12 233,22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41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Доходы от предпринимательской деятельности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233,30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240,30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247,51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259,88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272,88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Оплата труда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6 655,77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6 922,00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7 198,88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7 486,84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7 786,31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Социальные выплаты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4 519,04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4 699,80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4 887,79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5 083,31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5 276,64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Среднедушевые денежные доходы (в месяц)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руб./чел.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16 542,61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18 227,40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18 952,81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19 714,72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20 507,30</w:t>
            </w:r>
          </w:p>
        </w:tc>
      </w:tr>
      <w:tr w:rsidR="00F9332E" w:rsidRPr="00F9332E" w:rsidTr="00AA69BE">
        <w:trPr>
          <w:trHeight w:val="762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руб. в месяц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21 160,52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21 795,34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22 449,20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23 571,66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24 750,24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V. Потребительский рынок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Оборот розничной торговли в ценах соответствующего периода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3 516,10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3 762,23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4 025,58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4 307,37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4 608,89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Оборот общественного питания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84,46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86,15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87,87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89,63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VI. Демографические показатели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Численность и состав населения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54 966,00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54 232,00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53 632,00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53 132,00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53 000,00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55 215,00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54 599,00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53 932,00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53 382,00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53 066,00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Численность детей в возрасте 3-7 лет (дошкольного возраста)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3 976,00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3 751,00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3 650,00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3 650,00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3 650,00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6 669,00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7001,00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6 600,00</w:t>
            </w:r>
          </w:p>
        </w:tc>
      </w:tr>
      <w:tr w:rsidR="00F9332E" w:rsidRPr="00F9332E" w:rsidTr="00AA69BE">
        <w:trPr>
          <w:trHeight w:val="389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Численность населения в трудоспособном возрасте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27 452,00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26 940,00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26 800,00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26 750,00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26 700,00</w:t>
            </w:r>
          </w:p>
        </w:tc>
      </w:tr>
      <w:tr w:rsidR="00F9332E" w:rsidRPr="00F9332E" w:rsidTr="00AA69BE">
        <w:trPr>
          <w:trHeight w:val="39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1.6. Численность населения старше трудоспособного возраста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16 107,00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16 042,00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16 050,00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Естественное движение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2.1. Число родившихся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492,00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560,00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570,00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580,00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2.2. Число умерших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1 057,00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VII. Развитие социальной сферы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372,00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321,00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180,00</w:t>
            </w:r>
          </w:p>
        </w:tc>
      </w:tr>
      <w:tr w:rsidR="00F9332E" w:rsidRPr="00F9332E" w:rsidTr="00AA69BE">
        <w:trPr>
          <w:trHeight w:val="608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ед. на 10 тыс. населения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22,20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40,60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41,50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42,40</w:t>
            </w:r>
          </w:p>
        </w:tc>
      </w:tr>
      <w:tr w:rsidR="00F9332E" w:rsidRPr="00F9332E" w:rsidTr="00AA69BE">
        <w:trPr>
          <w:trHeight w:val="979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ед. на 10 тыс. населения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86,50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86,50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87,40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88,30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88,30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78,40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75,00</w:t>
            </w:r>
          </w:p>
        </w:tc>
      </w:tr>
      <w:tr w:rsidR="00F9332E" w:rsidRPr="00F9332E" w:rsidTr="00AA69BE">
        <w:trPr>
          <w:trHeight w:val="544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5. Доступность дошкольного образования для детей в возрасте от полутора до трех лет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VIII. Трудовые ресурсы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F9332E" w:rsidRPr="00F9332E" w:rsidTr="00AA69BE">
        <w:trPr>
          <w:trHeight w:val="63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21 450,00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21 400,00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21 500,00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21 600,00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21 700,00</w:t>
            </w:r>
          </w:p>
        </w:tc>
      </w:tr>
      <w:tr w:rsidR="00F9332E" w:rsidRPr="00F9332E" w:rsidTr="00AA69BE">
        <w:trPr>
          <w:trHeight w:val="979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2.1.среднее профессиональное образование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2.1.1 в том числе технического профиля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38,00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40,00</w:t>
            </w:r>
          </w:p>
        </w:tc>
      </w:tr>
      <w:tr w:rsidR="00F9332E" w:rsidRPr="00F9332E" w:rsidTr="00AA69BE">
        <w:trPr>
          <w:trHeight w:val="327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2.2. высшее образование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20,00</w:t>
            </w:r>
          </w:p>
        </w:tc>
      </w:tr>
      <w:tr w:rsidR="00F9332E" w:rsidRPr="00F9332E" w:rsidTr="00AA69BE">
        <w:trPr>
          <w:trHeight w:val="435"/>
        </w:trPr>
        <w:tc>
          <w:tcPr>
            <w:tcW w:w="6629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2.2.1 в том числе инженерно-технического профиля</w:t>
            </w:r>
          </w:p>
        </w:tc>
        <w:tc>
          <w:tcPr>
            <w:tcW w:w="1760" w:type="dxa"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307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6" w:type="dxa"/>
            <w:noWrap/>
            <w:hideMark/>
          </w:tcPr>
          <w:p w:rsidR="00F9332E" w:rsidRPr="00F9332E" w:rsidRDefault="00F9332E" w:rsidP="00F9332E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F9332E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</w:tr>
    </w:tbl>
    <w:p w:rsidR="00F9332E" w:rsidRDefault="00F9332E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  <w:sectPr w:rsidR="00F9332E" w:rsidSect="009127C8">
          <w:headerReference w:type="default" r:id="rId10"/>
          <w:pgSz w:w="16838" w:h="11906" w:orient="landscape"/>
          <w:pgMar w:top="1560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F9332E" w:rsidRPr="00F9332E" w:rsidTr="00AA69BE">
        <w:tc>
          <w:tcPr>
            <w:tcW w:w="4715" w:type="dxa"/>
          </w:tcPr>
          <w:p w:rsidR="00F9332E" w:rsidRPr="00F9332E" w:rsidRDefault="00F9332E" w:rsidP="00F9332E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91" w:type="dxa"/>
          </w:tcPr>
          <w:p w:rsidR="00F9332E" w:rsidRPr="00F9332E" w:rsidRDefault="00F9332E" w:rsidP="00F9332E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9332E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F9332E" w:rsidRPr="00F9332E" w:rsidRDefault="00F9332E" w:rsidP="00F9332E">
            <w:pPr>
              <w:tabs>
                <w:tab w:val="left" w:pos="-1134"/>
                <w:tab w:val="left" w:pos="720"/>
                <w:tab w:val="right" w:pos="9356"/>
              </w:tabs>
              <w:spacing w:line="240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9332E">
              <w:rPr>
                <w:rFonts w:ascii="Liberation Serif" w:hAnsi="Liberation Serif"/>
                <w:sz w:val="28"/>
                <w:szCs w:val="28"/>
              </w:rPr>
              <w:t>к прогнозу социально-экономического развития Артемовского городского округа на 2022 год и плановый период 2023 и 2024 годов</w:t>
            </w:r>
          </w:p>
        </w:tc>
      </w:tr>
    </w:tbl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Пояснительная записка к прогнозу социально - экономического развития Артемовского городского округа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на 2022 год и плановый период 2023 и 2024 годов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2022 год и плановый период 2023 и 2024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Pr="00F9332E">
        <w:rPr>
          <w:rFonts w:ascii="Liberation Serif" w:hAnsi="Liberation Serif"/>
          <w:sz w:val="28"/>
          <w:szCs w:val="28"/>
        </w:rPr>
        <w:br/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Pr="00F9332E">
        <w:rPr>
          <w:rFonts w:ascii="Liberation Serif" w:hAnsi="Liberation Serif"/>
          <w:sz w:val="28"/>
          <w:szCs w:val="28"/>
        </w:rPr>
        <w:br/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на среднесрочный период составляется в целях: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мониторинга выполнения задач, определенных в стратегических документах;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формирования основы для составления проекта бюджета Артемовского городского округа;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определения основных проблем развития Артемовского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Прогноз социально-экономического развития Артемовского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и территориального развития Свердловской области.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2022-2024 годов сформирован исходя из анализа статистических данных за 2019-2020 годы, январь – июнь 2021 года </w:t>
      </w:r>
      <w:r w:rsidRPr="00F9332E">
        <w:rPr>
          <w:rFonts w:ascii="Liberation Serif" w:hAnsi="Liberation Serif"/>
          <w:sz w:val="28"/>
          <w:szCs w:val="28"/>
        </w:rPr>
        <w:lastRenderedPageBreak/>
        <w:t>и прогнозных расчетов, представленных органами местного самоуправления Артемовского городского округа, и организациями, осуществляющими деятельность на территории Артемовского городского округа.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Артемовского городского округа на среднесрочный период разработан на основе базового сценария с учетом менее благоприятной санитарно-эпидемиологической ситуации в мире, затяжного восстановления мировой экономики и структурного замедления темпов ее роста в среднесрочной перспективе из-за последствий распространения новой </w:t>
      </w:r>
      <w:proofErr w:type="spellStart"/>
      <w:r w:rsidRPr="00F9332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 инфекции </w:t>
      </w:r>
      <w:r w:rsidRPr="00F9332E">
        <w:rPr>
          <w:rFonts w:ascii="Liberation Serif" w:hAnsi="Liberation Serif"/>
          <w:sz w:val="28"/>
          <w:szCs w:val="28"/>
        </w:rPr>
        <w:br/>
        <w:t>(2019-nCoV).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При составлении прогноза на 2022-2024 годы учтена необходимость достижения целей социально-экономического развития Свердловской области на период до 2030 года.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Достигнутый уровень социально-экономического развития Артемовского городского округа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Динамика основных экономических показателей социально-экономического развития Артемовского городского округа в 2020 году характеризуется замедлением темпов снижения одних экономических показателей и сохранением темпов роста других.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Оборот организаций в январе – декабре 2020 года вырос на 20,6% к уровню 2019 года и составил 14 213,9 млн. рублей (2019 год – 11 789,7 млн. рублей).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2020 году инвестиции в основной капитал крупных и средних организаций составили 1 214,6 млн. рублей, что выше показателя 2019 года на 19,2% (2019 год – 1 021,4 млн. рублей).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Объем отгруженных товаров собственного производства, выполненных работ (услуг) организациями: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обрабатывающего производства в 2020 году составил 3 469,7 млн. рублей или 118,4% к уровню 2019 года (2019 год – 2 929,5 млн. рублей);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обеспечения электрической энергией, газом и паром; кондиционирование воздуха – 895,0 млн. рублей или 160% к уровню 2019 года (в 2019 году – 556,4 млн. рублей).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За январь-декабрь 2020 года среднемесячная начисленная заработная плата по крупным и средним организациям составила 37 242 рубля, темп роста по сравнению с аналогичным периодом прошлого года составил 106,9% (за 2019 год – 34 702,9 рубля).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Среднемесячная начисленная заработная плата по видам экономической деятельности за 2020 год составила: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в обрабатывающем производстве – 28 688,9 рублей;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в обеспечении электрической энергией, газом и паром – 43 651,1 рубль.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Самая высокая среднемесячная начисленная заработная плата в 2020 году зафиксирована по виду экономической деятельности «Транспортировка и </w:t>
      </w:r>
      <w:r w:rsidRPr="00F9332E">
        <w:rPr>
          <w:rFonts w:ascii="Liberation Serif" w:hAnsi="Liberation Serif"/>
          <w:sz w:val="28"/>
          <w:szCs w:val="28"/>
        </w:rPr>
        <w:lastRenderedPageBreak/>
        <w:t>хранение» - 45 436,3 рублей, а самая низкая - по виду экономической деятельности «Деятельность гостиниц и предприятий общественного питания» - 19 549,2 рублей.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2020 году за счет всех источников финансирования введено в действие 83 жилых дома общей площадью 9,65 тыс. кв. м, что составляет 89,4% от показателя 2019 года (2019 год – 10,8 тыс. кв. м).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многолетней динамике демографической ситуации среднегодовая численность постоянного населения Артемовского городского округа имеет тенденцию к снижению. По итогам 2020 года коэффициент рождаемости составил 9,0 человек на 1000 населения, что на 2,09 ед. ниже показателя 2019 года (в 2019 году – 11,9 человек на 1000 населения). Коэффициент общей смертности составил 19,3 человек на 1000 населения, что на 1,45 ед. выше показателя 2019 года (в 2019 году – 17,85 человек на 1000 населения). Среднегодовая численность населения Артемовского городского округа в 2020 году составила 55 215 человек.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Финансы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Прогноз на 2022-2024 годы по разделу «Финансы» разработан на основании решения Думы Артемовского городского округа от 15.12.2020 № 751 «Об утверждении бюджета Артемовского городского округа на 2021 год и плановый период 2022 и 2023 годы» с изменениями, внесенными решениями Думы Артемовского городского округа от 08.04.2021 № 795, </w:t>
      </w:r>
      <w:r w:rsidRPr="00F9332E">
        <w:rPr>
          <w:rFonts w:ascii="Liberation Serif" w:hAnsi="Liberation Serif"/>
          <w:sz w:val="28"/>
          <w:szCs w:val="28"/>
        </w:rPr>
        <w:br/>
        <w:t>от 17.06.2021 № 829, от 26.08.2021 № 864.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Оценка на 2021 год и прогноз на 2022-2024 годы по налогу </w:t>
      </w:r>
      <w:r w:rsidRPr="00F9332E">
        <w:rPr>
          <w:rFonts w:ascii="Liberation Serif" w:hAnsi="Liberation Serif"/>
          <w:sz w:val="28"/>
          <w:szCs w:val="28"/>
        </w:rPr>
        <w:br/>
        <w:t xml:space="preserve">с патентной системы налогообложения увеличены в связи с отменой </w:t>
      </w:r>
      <w:r w:rsidRPr="00F9332E">
        <w:rPr>
          <w:rFonts w:ascii="Liberation Serif" w:hAnsi="Liberation Serif"/>
          <w:sz w:val="28"/>
          <w:szCs w:val="28"/>
        </w:rPr>
        <w:br/>
        <w:t>с 01.01.2021 системы налогообложения в виде единого налога на вмененный доход для отдельных видов деятельности (Федеральный закон от 29 июня 2012 года № 97 - ФЗ) и переходом плательщиков ЕНВД на патентную систему налогообложения.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Сумма недополученных доходов от предоставления налоговых льгот, предусмотренных решением Думы Артемовского городского округа, указана в соответствии с отчетом формы № 5-МН Межрайонной ИФНС России № 23 по Свердловской области за 2020 год.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В среднесрочной перспективе 2021-2024 годы, по данным Межрайонной ИФНС России № 23 по Свердловской области, ожидается рост поступлений по налогу на доходы с физических лиц. Это связано с планируемой уплатой налога с учетом коэффициента, характеризующего динамику фонда заработной платы, на основании Постановления Правительства Свердловской области от 01.10.2020 № 679-ПП «Об утверждении методик, применяемых для расчета межбюджетных трансфертов из областного бюджета местным бюджетам на 2021 и плановый период 2022 и 2023 годов», а также с дополнительными нормативами отчислений в бюджеты муниципальных районов от налога на доходы физических лиц на основании Закона Свердловской области </w:t>
      </w:r>
      <w:r w:rsidRPr="00F9332E">
        <w:rPr>
          <w:rFonts w:ascii="Liberation Serif" w:hAnsi="Liberation Serif"/>
          <w:sz w:val="28"/>
          <w:szCs w:val="28"/>
        </w:rPr>
        <w:br/>
      </w:r>
      <w:r w:rsidRPr="00F9332E">
        <w:rPr>
          <w:rFonts w:ascii="Liberation Serif" w:hAnsi="Liberation Serif"/>
          <w:sz w:val="28"/>
          <w:szCs w:val="28"/>
        </w:rPr>
        <w:lastRenderedPageBreak/>
        <w:t>от 10 декабря 2020 года № 144-ОЗ «Об областном бюджете на 2021 и плановый период 2022 и 2023 годов».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По единому налогу на вмененный доход наблюдается снижение поступлений в 2021 году, так как на основании Федерального закона </w:t>
      </w:r>
      <w:r w:rsidRPr="00F9332E">
        <w:rPr>
          <w:rFonts w:ascii="Liberation Serif" w:hAnsi="Liberation Serif"/>
          <w:sz w:val="28"/>
          <w:szCs w:val="28"/>
        </w:rPr>
        <w:br/>
        <w:t xml:space="preserve">от 29 июня 2012 года № 97-ФЗ глава 26.3 «Система налогообложения в виде единого налога на вмененный доход для отдельных видов деятельности» Налогового кодекса РФ признана утратившей силу с 1 января 2021 года. </w:t>
      </w:r>
      <w:r w:rsidRPr="00F9332E">
        <w:rPr>
          <w:rFonts w:ascii="Liberation Serif" w:hAnsi="Liberation Serif"/>
          <w:sz w:val="28"/>
          <w:szCs w:val="28"/>
        </w:rPr>
        <w:br/>
        <w:t xml:space="preserve">В 2021 году поступала уплата налога по расчетам за 4 квартал 2020 года, </w:t>
      </w:r>
      <w:r w:rsidRPr="00F9332E">
        <w:rPr>
          <w:rFonts w:ascii="Liberation Serif" w:hAnsi="Liberation Serif"/>
          <w:sz w:val="28"/>
          <w:szCs w:val="28"/>
        </w:rPr>
        <w:br/>
        <w:t>а также планируется поступление в счет погашения задолженности.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Планирование налоговой базы по единому налогу на вмененный доход на 2021-2024 годы не проводилось.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2021 году прогнозируется рост поступлений по отношению к 2020 году по налогу с патентной системы налогообложения, это связано со сменой режима налогообложения с единого налога на вмененный доход. Ожидается рост поступлений по упрощенной системе налогообложения в связи с изменением норматива отчислений в бюджеты муниципальных районов на основании Закона Свердловской области от 10 декабря 2020 года № 144-ОЗ «Об областном бюджете на 2021 и плановый период 2022 и 2023 годов».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Производственная деятельность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Основную долю занимают предприятия двух видов экономической деятельности - обрабатывающего производства и обеспечение электрической энергией, газом и паром; кондиционирование воздуха.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По итогам 2020 года на территории Артемовского городского округа сальдированный результат (прибыль минус убытки) деятельности организаций (без субъектов малого предпринимательства и организаций, средняя </w:t>
      </w:r>
      <w:proofErr w:type="gramStart"/>
      <w:r w:rsidRPr="00F9332E">
        <w:rPr>
          <w:rFonts w:ascii="Liberation Serif" w:hAnsi="Liberation Serif"/>
          <w:sz w:val="28"/>
          <w:szCs w:val="28"/>
        </w:rPr>
        <w:t>численность работников</w:t>
      </w:r>
      <w:proofErr w:type="gramEnd"/>
      <w:r w:rsidRPr="00F9332E">
        <w:rPr>
          <w:rFonts w:ascii="Liberation Serif" w:hAnsi="Liberation Serif"/>
          <w:sz w:val="28"/>
          <w:szCs w:val="28"/>
        </w:rPr>
        <w:t xml:space="preserve"> которых не превышает 15 человек, банков, страховых организаций и государственных (муниципальных) учреждений) составил 154,5 млн. рублей прибыли, что больше аналогичного показателя за 2019 год в 2,3 раза (в 2019 году – 67,2 млн. рублей).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За 12 месяцев 2020 года оборот организаций, не относящихся к субъектам малого предпринимательства, по видам экономической деятельности составил: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обрабатывающее производство – 4 397,1 млн. рублей или 129,1% к значению показателя за 2019 год;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 обеспечение электрической энергией, газом и паром; кондиционирование воздуха – 5 535,2 млн. рублей или 119,2% к значению показателя за 2019 год.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По итогам 2021 года ожидается увеличение оборота организаций обрабатывающего производства на 1,02% и достижение значения данного </w:t>
      </w:r>
      <w:r w:rsidRPr="00F9332E">
        <w:rPr>
          <w:rFonts w:ascii="Liberation Serif" w:hAnsi="Liberation Serif"/>
          <w:sz w:val="28"/>
          <w:szCs w:val="28"/>
        </w:rPr>
        <w:lastRenderedPageBreak/>
        <w:t>показателя в объеме 4 485,06 млн. рублей, а в организациях сферы экономической деятельности «Обеспечение электрической энергией, газом и паром; кондиционирование воздуха» - на 1,01% с достижением объема 4 688,2 млн. рублей. В периоде до 2024 года в организациях Артемовского городского округа ожидается сохранение темпов роста в пределах от 1,01% до 1,02%, в том числе: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в организациях обрабатывающего производства ежегодное увеличение оборота в пределах 1,02%;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в организациях по обеспечению электрической энергией, газом и паром; кондиционированием воздуха ежегодное увеличение оборота в пределах 1,01%.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На территории Артемовского городского округа в сфере сельского хозяйства осуществляют деятельность 2 юридических лица, малые формы хозяйствования представлены 18 крестьянскими (фермерскими) хозяйствами и около 10,5 тысяч семей имеют личные подсобные хозяйства.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Основные направления производственной деятельности сельскохозяйственных предприятий городского округа - производство молока, мяса птицы, мяса крупного рогатого скота, выращивание кормовых культур.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2020 года объем производства сельскохозяйственной продукции составил 722,2 млн. руб., что на 6,3 млн. руб. больше показателя за 2019 год (за 12 месяцев 2019 года – 715,9 млн. руб.).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В прогнозном периоде 2022-2024 годов ожидается, что рост оборота организаций сельскохозяйственного производства будет находиться в диапазоне 1% в зависимости от складывающейся экономической ситуации и погодных условий. Рост оборота организаций сельскохозяйственного производства планируется обеспечить за счет увеличения общих посевных площадей к 2023 году до 13 845 га, роста объема произведенной сельскохозяйственной продукции, а также за счет привлечения </w:t>
      </w:r>
      <w:proofErr w:type="spellStart"/>
      <w:r w:rsidRPr="00F9332E">
        <w:rPr>
          <w:rFonts w:ascii="Liberation Serif" w:hAnsi="Liberation Serif"/>
          <w:sz w:val="28"/>
          <w:szCs w:val="28"/>
        </w:rPr>
        <w:t>грантовой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 поддержки крестьянских (фермерских) хозяйств при участии в региональных программах развития сельскохозяйственного производства.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Оборот организаций в сфере «Строительство» за 2020 год составил 289,2 млн. рублей, что составляет 196,3% к уровню 2019 года (2019 год – </w:t>
      </w:r>
      <w:r w:rsidRPr="00F9332E">
        <w:rPr>
          <w:rFonts w:ascii="Liberation Serif" w:hAnsi="Liberation Serif"/>
          <w:sz w:val="28"/>
          <w:szCs w:val="28"/>
        </w:rPr>
        <w:br/>
        <w:t>147,3 млн. рублей). В 2020 году организациями, осуществляющими деятельность на территории Артемовского городского округа, завершены проекты по строительству: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- АО «АМЗ «ВЕНТПРОМ» - здания сборочного цеха (цех № 3) общей площадью 2260 </w:t>
      </w:r>
      <w:proofErr w:type="spellStart"/>
      <w:r w:rsidRPr="00F9332E">
        <w:rPr>
          <w:rFonts w:ascii="Liberation Serif" w:hAnsi="Liberation Serif"/>
          <w:sz w:val="28"/>
          <w:szCs w:val="28"/>
        </w:rPr>
        <w:t>кв.м</w:t>
      </w:r>
      <w:proofErr w:type="spellEnd"/>
      <w:r w:rsidRPr="00F9332E">
        <w:rPr>
          <w:rFonts w:ascii="Liberation Serif" w:hAnsi="Liberation Serif"/>
          <w:sz w:val="28"/>
          <w:szCs w:val="28"/>
        </w:rPr>
        <w:t>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- ИП КФХ Асланян </w:t>
      </w:r>
      <w:proofErr w:type="spellStart"/>
      <w:r w:rsidRPr="00F9332E">
        <w:rPr>
          <w:rFonts w:ascii="Liberation Serif" w:hAnsi="Liberation Serif"/>
          <w:sz w:val="28"/>
          <w:szCs w:val="28"/>
        </w:rPr>
        <w:t>Наири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F9332E">
        <w:rPr>
          <w:rFonts w:ascii="Liberation Serif" w:hAnsi="Liberation Serif"/>
          <w:sz w:val="28"/>
          <w:szCs w:val="28"/>
        </w:rPr>
        <w:t>Аветисович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 - фермы на 100 голов крупного рогатого скота;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ООО «Арт-Синтез» - производственного здания.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lastRenderedPageBreak/>
        <w:t>Кроме того, в 2020 году реализовывались проекты по строительству: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механического цеха АО «Красногвардейский машиностроительный завод»;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магазина в г. Артемовский, ул. Уральская, 4;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магазина в г. Артемовский, ул. Акулова, 6.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Динамика оборота организаций строительства в прогнозном периоде до 2024 года будет определяться количеством и стоимостью объектов капитального строительства, в том числе реализацией проектов: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по строительству центра эксплуатации и обслуживания газомоторных локомотивов;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по проведению АО «Ренессанс-</w:t>
      </w:r>
      <w:proofErr w:type="spellStart"/>
      <w:r w:rsidRPr="00F9332E">
        <w:rPr>
          <w:rFonts w:ascii="Liberation Serif" w:hAnsi="Liberation Serif"/>
          <w:sz w:val="28"/>
          <w:szCs w:val="28"/>
        </w:rPr>
        <w:t>Лекс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» перепрофилирования </w:t>
      </w:r>
      <w:proofErr w:type="gramStart"/>
      <w:r w:rsidRPr="00F9332E">
        <w:rPr>
          <w:rFonts w:ascii="Liberation Serif" w:hAnsi="Liberation Serif"/>
          <w:sz w:val="28"/>
          <w:szCs w:val="28"/>
        </w:rPr>
        <w:t>имущественного комплекса</w:t>
      </w:r>
      <w:proofErr w:type="gramEnd"/>
      <w:r w:rsidRPr="00F9332E">
        <w:rPr>
          <w:rFonts w:ascii="Liberation Serif" w:hAnsi="Liberation Serif"/>
          <w:sz w:val="28"/>
          <w:szCs w:val="28"/>
        </w:rPr>
        <w:t xml:space="preserve"> бывшего АКСК;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по строительству поликлиники на 450-500 посещений в день в г. Артемовском;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по строительству коровника на 100 голов КРС.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На рост оборотов организаций оптовой и розничной торговли в 2021 году и прогнозном периоде 2022-2024 годов влияние окажут: рост потребительских цен, увеличение количества торгующих организаций, </w:t>
      </w:r>
      <w:r w:rsidRPr="00F9332E">
        <w:rPr>
          <w:rFonts w:ascii="Liberation Serif" w:hAnsi="Liberation Serif"/>
          <w:sz w:val="28"/>
          <w:szCs w:val="28"/>
        </w:rPr>
        <w:br/>
        <w:t xml:space="preserve">и, как следствие, рост ассортимента продукции.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Динамику оборота организаций транспорта и связи будут определять динамика промышленного производства, потребности оптовой и розничной торговли и развитие телекоммуникационного рынка. В прогнозном периоде ожидается рост объема оборота организаций транспорта и связи в пределах от 1%.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Оборот организаций в области информатизации и связи прогнозируется в периоде 2022-2024 годов в объеме от 7,2 млн. рублей до 8,0 млн. рублей.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Инвестиции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Фактический объем инвестиций в 2020 году превысил прогнозный на 709,8 млн. рублей. Реализация инвестиционных проектов ведущих организаций Артемовского городского округа и инвестиции в бюджетной сфере, в том числе строительство ООО «Континент» здания детского сада на 135 мест в г. Артемовском и строительство ООО МК «</w:t>
      </w:r>
      <w:proofErr w:type="spellStart"/>
      <w:r w:rsidRPr="00F9332E">
        <w:rPr>
          <w:rFonts w:ascii="Liberation Serif" w:hAnsi="Liberation Serif"/>
          <w:sz w:val="28"/>
          <w:szCs w:val="28"/>
        </w:rPr>
        <w:t>ГарантСтрой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» </w:t>
      </w:r>
      <w:r w:rsidRPr="00F9332E">
        <w:rPr>
          <w:rFonts w:ascii="Liberation Serif" w:hAnsi="Liberation Serif"/>
          <w:sz w:val="28"/>
          <w:szCs w:val="28"/>
        </w:rPr>
        <w:br/>
        <w:t>5-ти этажного многоквартирного жилого дома (63 квартиры) в пос. </w:t>
      </w:r>
      <w:proofErr w:type="spellStart"/>
      <w:r w:rsidRPr="00F9332E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F9332E">
        <w:rPr>
          <w:rFonts w:ascii="Liberation Serif" w:hAnsi="Liberation Serif"/>
          <w:sz w:val="28"/>
          <w:szCs w:val="28"/>
        </w:rPr>
        <w:t>, позволили в 2020 году достичь значения показателя «Объем инвестиций в основной капитал за счет всех источников финансирования» в объеме 1 214,6 млн. рублей.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Завершение </w:t>
      </w:r>
      <w:proofErr w:type="gramStart"/>
      <w:r w:rsidRPr="00F9332E">
        <w:rPr>
          <w:rFonts w:ascii="Liberation Serif" w:hAnsi="Liberation Serif"/>
          <w:sz w:val="28"/>
          <w:szCs w:val="28"/>
        </w:rPr>
        <w:t>начатых</w:t>
      </w:r>
      <w:proofErr w:type="gramEnd"/>
      <w:r w:rsidRPr="00F9332E">
        <w:rPr>
          <w:rFonts w:ascii="Liberation Serif" w:hAnsi="Liberation Serif"/>
          <w:sz w:val="28"/>
          <w:szCs w:val="28"/>
        </w:rPr>
        <w:t xml:space="preserve"> и реализация новых инвестиционных проектов в различных сферах экономической деятельности дает основание прогнозировать достижение значения показателя «Объем инвестиций в основной капитал за счет всех источников финансирования» в 2021 году в размере 1275,39 млн. рублей.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Динамика объема в прогнозном периоде до 2024 года будет определяться наличием краткосрочных инвестиционных планов в организациях </w:t>
      </w:r>
      <w:r w:rsidRPr="00F9332E">
        <w:rPr>
          <w:rFonts w:ascii="Liberation Serif" w:hAnsi="Liberation Serif"/>
          <w:sz w:val="28"/>
          <w:szCs w:val="28"/>
        </w:rPr>
        <w:lastRenderedPageBreak/>
        <w:t>Артемовского городского округа, в том числе вводом в эксплуатацию объектов капитального строительства.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Финансирование инвестиционных вложений за счет средств бюджетов различных уровней, в основном, будет осуществляться в рамках реализуемых муниципальных программ.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Денежные доходы населения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Доходы населения Артемовского городского округа в 2020 году ожидались в объеме 9 965,75. Фактически достигнутое значение в объеме 10 911,37 млн. рублей больше ожидаемого на 945,62 млн. рублей. Рост доходов обусловлен: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фактическим ростом на территории Артемовского городского округа среднемесячной заработной платы на 6,9%;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ростом ежемесячных выплат пенсионерам на 6,6%;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- дополнительными выплатами, связанными с преодолением негативного воздействия в условиях распространения новой </w:t>
      </w:r>
      <w:proofErr w:type="spellStart"/>
      <w:r w:rsidRPr="00F9332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 инфекции COVID-19.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Ожидается, что при стабилизации функционирования экономики денежные доходы населения Артемовского городского округа в 2021-2024 годах будут расти на 2,9% ежегодно.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Потребительский рынок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2020 году достиг значения 3 516,1 млн. рублей, что составляет 118,6% от аналогичного показателя за 2019 год (в 2019 году оборот составил 2 964,67 млн. рублей).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По итогам 2021 года и в период 2022-2024 годов ожидается положительная динамика оборота оптовой и розничной торговли в пределах 7%.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Демография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Численность населения Артемовского городского округа на 01.01.2021 составила 54 232 человека, что на 756 человек меньше, чем по состоянию на 01.01.2020. Сложившаяся ситуация обусловлена процессами миграции и естественной убыли населения.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За 12 месяцев 2020 года зарегистрировано 492 родившихся малыша (в 2019 году – 555 малышей). Число родившихся в 2020 году меньше, чем в 2019 году на 63 человека. Число умерших в 2020 году составило 1057 человек, что больше на 166 человек, чем в 2019 году (в 2019 году - 891 человек). Естественная убыль населения за 2020 год составила - 565 человек.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Итоги миграции населения за январь-декабрь 2020 года: число прибывших 1 268 человек, число выбывших 1 445 человек, миграционная убыль составила 177 человек (миграционная убыль январь-декабрь 2019 года - 129 </w:t>
      </w:r>
      <w:r w:rsidRPr="00F9332E">
        <w:rPr>
          <w:rFonts w:ascii="Liberation Serif" w:hAnsi="Liberation Serif"/>
          <w:sz w:val="28"/>
          <w:szCs w:val="28"/>
        </w:rPr>
        <w:lastRenderedPageBreak/>
        <w:t>человек).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Ожидается, что темпы естественной и миграционной убыли населения сократятся, но среднегодовая численность населения будет уменьшаться, и к 2024 году составит 53 000 человек.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По отдельным возрастным категориям численность населения характеризуется следующими показателями.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Численность детей в возрасте 3-7 лет (дошкольного возраста) по состоянию на 01.01.2021 составила 3 751 человек, что на 225 человек меньше, чем по состоянию на 01.01.2020. В среднесрочной перспективе 2022-2024 годов прогнозируется сохранение численности граждан данной возрастной категории в пределах 3 650 человек.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Численность детей и подростков в возрасте 8-17 лет (школьного возраста) на 01.01.2021 составила 7001,0 человека, что на 332 человека больше, чем на 01.01.2020. В среднесрочной перспективе 2022-2024 годов прогнозируется сохранение численности граждан данной возрастной категории в пределах 6 600 человек.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Численность населения Артемовского городского округа в трудоспособном возрасте на 01.01.2021 составила 26 940 человек (49,7% от общей численности населения), а численность населения старше трудоспособного возраста – 16 042 человека (29,6% от общей численности населения округа). Демографическая ситуация в Артемовском городском округе характеризуется старением населения. В прогнозируемый период 2021 - 2023 годов ожидается: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сохранение тенденции старения населения;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- сохранение численности населения в трудоспособном возрасте в пределах 26,8 - 26,7 тыс. человек ежегодно.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среднесрочной перспективе основные тенденции демографического развития Артемовского городского округа будут соответствовать тенденциям демографического развития Свердловской области и являться негативными. Основными факторами снижения численности населения являются: снижение рождаемости из-за сокращения числа женщин фертильного возраста, увеличение смертности из-за ухудшения возрастной структуры населения, низкий миграционный прирост.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Развитие социальной сферы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В 2020 году в 4 общеобразовательных организациях Артемовского городского округа учебный процесс осуществлялся в 2 смены. Во вторую смену обучалось 525 человек, что составило 8% от общей численности обучающихся (в 2019 учебном году в 7 общеобразовательных организациях – 730 человек или 10,8%). Снижение показателя обусловлено: переводом МАОУ ДО ЦОД «Фаворит» с площадей МАОУ СОШ № 12 в другое муниципальное здание, что позволило 116 обучающимся школы обучаться в первую смену; оптимизацией загруженности образовательных организаций; перераспределением закрепленных территорий за общеобразовательными </w:t>
      </w:r>
      <w:r w:rsidRPr="00F9332E">
        <w:rPr>
          <w:rFonts w:ascii="Liberation Serif" w:hAnsi="Liberation Serif"/>
          <w:sz w:val="28"/>
          <w:szCs w:val="28"/>
        </w:rPr>
        <w:lastRenderedPageBreak/>
        <w:t>организациями.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2021 году в 3 общеобразовательных организациях процесс обучения организован в 2 смены для 321 ребенка.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В прогнозном периоде 2022-2024 годов количество обучающихся общеобразовательных организаций во вторую смену составит 190-180 человек.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Доля детей в возрасте от 5 до 18 лет, охваченных дополнительным образованием в 2020 году, составила 78,4%, а в 2021 году – 63%. Деятельность муниципального опорного центра, оказывающего методическую поддержку организациям, реализующим дополнительные общеразвивающие программы, координирующий деятельность в сфере </w:t>
      </w:r>
      <w:proofErr w:type="gramStart"/>
      <w:r w:rsidRPr="00F9332E">
        <w:rPr>
          <w:rFonts w:ascii="Liberation Serif" w:hAnsi="Liberation Serif"/>
          <w:sz w:val="28"/>
          <w:szCs w:val="28"/>
        </w:rPr>
        <w:t>дополнительного образования</w:t>
      </w:r>
      <w:proofErr w:type="gramEnd"/>
      <w:r w:rsidRPr="00F9332E">
        <w:rPr>
          <w:rFonts w:ascii="Liberation Serif" w:hAnsi="Liberation Serif"/>
          <w:sz w:val="28"/>
          <w:szCs w:val="28"/>
        </w:rPr>
        <w:t xml:space="preserve"> и дальнейшая реализация кампании по выдаче сертификатов дополнительного образования позволят в период 2022-2024 годов создать условия для получения 75% детей дополнительного образования.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Созданные в 2020 году дополнительно 60 мест в действующих дошкольных образовательных организациях и ввод 135 мест в новом детском дошкольном учреждении обеспечили условия для 100% доступности дошкольного образования для детей в возрасте от полутора до трех лет.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В 2022-2024 годах доступность дошкольного образования сохранится для 100% детей в возрасте от полутора до трех лет.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Трудовые ресурсы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По состоянию на 01.09.2021 уровень безработицы в Артемовском городском округе составил 1,9%, что на 3,9% ниже показателя на 01.01.2021 (на 01.01.2021 уровень безработицы – 5,8%), а число официально зарегистрированных безработных составило 539 человек, что на 1073 человека меньше показателя на 01.01.2021 (на 01.01.2021 – 1612 человек).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 xml:space="preserve">Среднесписочная численность работников (без внешних совместителей) по полному кругу организаций в 2020 году составила 21 450 человек. В прогнозном периоде 2022-2024 годов ожидается, что структура распределения занятых в экономике по видам деятельности существенно не изменится, а среднесписочная численность работников (без внешних совместителей) по полному кругу организаций будет расти незначительно и к 2024 году составит 21 700 человек. Наряду с восстановлением экономики увеличению числа занятых будут способствовать мероприятия по переобучению безработных, усилению межрегиональной координации центров занятости, программы стажировок для выпускников и внедрение дистанционной занятости. Прогнозируется, что в ближайшие годы будет расти количество </w:t>
      </w:r>
      <w:proofErr w:type="spellStart"/>
      <w:r w:rsidRPr="00F9332E">
        <w:rPr>
          <w:rFonts w:ascii="Liberation Serif" w:hAnsi="Liberation Serif"/>
          <w:sz w:val="28"/>
          <w:szCs w:val="28"/>
        </w:rPr>
        <w:t>самозанятых</w:t>
      </w:r>
      <w:proofErr w:type="spellEnd"/>
      <w:r w:rsidRPr="00F9332E">
        <w:rPr>
          <w:rFonts w:ascii="Liberation Serif" w:hAnsi="Liberation Serif"/>
          <w:sz w:val="28"/>
          <w:szCs w:val="28"/>
        </w:rPr>
        <w:t xml:space="preserve"> граждан. 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Рынок труда в среднесрочной перспективе будет в значительной степени определяться демографическими тенденциями. Дальнейшее проведение в прогнозном периоде пенсионной реформы частично компенсирует процесс сокращения трудоспособного населения.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Заключение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определенных приоритетов в соответствии с реальными возможностями бюджета Артемовского городского округа.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Приоритетными в 2022-2024 годах признаются мероприятия, связанные с реализацией региональных проектов Свердловской области утвержденных в рамках национальных проектов Российской Федерации согласно Указу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года»: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капитальный ремонт школ, капитальный ремонт дошкольных образовательных организаций;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капитальный ремонт учреждений культуры;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строительство и капитальный ремонт тротуаров, муниципальных автомобильных дорог общего пользования;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модернизация жилищно-коммунального хозяйства;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газификация Артемовского городского округа;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строительство жилья для переселения граждан из непригодного и аварийного жилья;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развитие въездного и внутреннего туризма;</w:t>
      </w:r>
    </w:p>
    <w:p w:rsidR="00F9332E" w:rsidRPr="00F9332E" w:rsidRDefault="00F9332E" w:rsidP="00F9332E">
      <w:pPr>
        <w:numPr>
          <w:ilvl w:val="0"/>
          <w:numId w:val="1"/>
        </w:numPr>
        <w:tabs>
          <w:tab w:val="left" w:pos="-1134"/>
          <w:tab w:val="left" w:pos="720"/>
          <w:tab w:val="right" w:pos="9356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F9332E">
        <w:rPr>
          <w:rFonts w:ascii="Liberation Serif" w:hAnsi="Liberation Serif"/>
          <w:sz w:val="28"/>
          <w:szCs w:val="28"/>
        </w:rPr>
        <w:t>обустройство дворовых и общественных территорий.</w:t>
      </w:r>
    </w:p>
    <w:p w:rsidR="00F9332E" w:rsidRPr="00F9332E" w:rsidRDefault="00F9332E" w:rsidP="00F9332E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A01D44" w:rsidRPr="00BC08A5" w:rsidRDefault="00A01D44" w:rsidP="007D3873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sectPr w:rsidR="00A01D44" w:rsidRPr="00BC08A5" w:rsidSect="00466364">
      <w:headerReference w:type="default" r:id="rId11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4C" w:rsidRDefault="001A344C" w:rsidP="00750105">
      <w:pPr>
        <w:spacing w:line="240" w:lineRule="auto"/>
      </w:pPr>
      <w:r>
        <w:separator/>
      </w:r>
    </w:p>
  </w:endnote>
  <w:endnote w:type="continuationSeparator" w:id="0">
    <w:p w:rsidR="001A344C" w:rsidRDefault="001A344C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4C" w:rsidRDefault="001A344C" w:rsidP="00750105">
      <w:pPr>
        <w:spacing w:line="240" w:lineRule="auto"/>
      </w:pPr>
      <w:r>
        <w:separator/>
      </w:r>
    </w:p>
  </w:footnote>
  <w:footnote w:type="continuationSeparator" w:id="0">
    <w:p w:rsidR="001A344C" w:rsidRDefault="001A344C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2E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97194"/>
      <w:docPartObj>
        <w:docPartGallery w:val="Page Numbers (Top of Page)"/>
        <w:docPartUnique/>
      </w:docPartObj>
    </w:sdtPr>
    <w:sdtEndPr/>
    <w:sdtContent>
      <w:p w:rsidR="0085475E" w:rsidRDefault="001A3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2E">
          <w:rPr>
            <w:noProof/>
          </w:rPr>
          <w:t>6</w:t>
        </w:r>
        <w:r>
          <w:fldChar w:fldCharType="end"/>
        </w:r>
      </w:p>
    </w:sdtContent>
  </w:sdt>
  <w:p w:rsidR="0085475E" w:rsidRDefault="001A34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EndPr/>
    <w:sdtContent>
      <w:p w:rsidR="00CF2B1A" w:rsidRDefault="001A34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2E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B19C9"/>
    <w:rsid w:val="00142A56"/>
    <w:rsid w:val="00165FE0"/>
    <w:rsid w:val="001A344C"/>
    <w:rsid w:val="001B4714"/>
    <w:rsid w:val="00286755"/>
    <w:rsid w:val="002B5D9E"/>
    <w:rsid w:val="002C6406"/>
    <w:rsid w:val="0037574C"/>
    <w:rsid w:val="00395451"/>
    <w:rsid w:val="003B7F4F"/>
    <w:rsid w:val="003D3228"/>
    <w:rsid w:val="00433350"/>
    <w:rsid w:val="00440358"/>
    <w:rsid w:val="004B630D"/>
    <w:rsid w:val="005160A3"/>
    <w:rsid w:val="00543B86"/>
    <w:rsid w:val="00641DA2"/>
    <w:rsid w:val="006635DD"/>
    <w:rsid w:val="00694062"/>
    <w:rsid w:val="006A20A4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E6A78"/>
    <w:rsid w:val="008644BB"/>
    <w:rsid w:val="00893278"/>
    <w:rsid w:val="008A2B3B"/>
    <w:rsid w:val="008B4EC4"/>
    <w:rsid w:val="009A4952"/>
    <w:rsid w:val="009A4A9D"/>
    <w:rsid w:val="00A01D44"/>
    <w:rsid w:val="00A8743A"/>
    <w:rsid w:val="00A9638E"/>
    <w:rsid w:val="00AF3691"/>
    <w:rsid w:val="00B17CC4"/>
    <w:rsid w:val="00BA66FF"/>
    <w:rsid w:val="00BC08A5"/>
    <w:rsid w:val="00BF1EEA"/>
    <w:rsid w:val="00C73BE2"/>
    <w:rsid w:val="00C75D0D"/>
    <w:rsid w:val="00CB1EB2"/>
    <w:rsid w:val="00D350A2"/>
    <w:rsid w:val="00D50040"/>
    <w:rsid w:val="00E31A86"/>
    <w:rsid w:val="00EA065F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Николаевна Нохрина</cp:lastModifiedBy>
  <cp:revision>2</cp:revision>
  <cp:lastPrinted>2021-10-13T04:03:00Z</cp:lastPrinted>
  <dcterms:created xsi:type="dcterms:W3CDTF">2021-10-18T03:42:00Z</dcterms:created>
  <dcterms:modified xsi:type="dcterms:W3CDTF">2021-10-18T03:42:00Z</dcterms:modified>
</cp:coreProperties>
</file>