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Артемовского городского округа от 12.02.2019 N 143-ПА</w:t>
              <w:br/>
              <w:t xml:space="preserve">(ред. от 14.02.2022)</w:t>
              <w:br/>
              <w:t xml:space="preserve">"Об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АРТЕМОВСКОГО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2019 г. N 143-ПА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АРЕНДНОЙ ПЛАТЫ</w:t>
      </w:r>
    </w:p>
    <w:p>
      <w:pPr>
        <w:pStyle w:val="2"/>
        <w:jc w:val="center"/>
      </w:pPr>
      <w:r>
        <w:rPr>
          <w:sz w:val="20"/>
        </w:rPr>
        <w:t xml:space="preserve">ЗА ПОЛЬЗОВАНИЕ ЗДАНИЯМИ, НЕЖИЛЫМИ ПОМЕЩЕНИЯМИ,</w:t>
      </w:r>
    </w:p>
    <w:p>
      <w:pPr>
        <w:pStyle w:val="2"/>
        <w:jc w:val="center"/>
      </w:pPr>
      <w:r>
        <w:rPr>
          <w:sz w:val="20"/>
        </w:rPr>
        <w:t xml:space="preserve">КОМПЛЕКСАМИ ИМУЩЕСТВА, СОСТАВЛЯЮЩИМИ МУНИЦИПАЛЬНУЮ КАЗНУ</w:t>
      </w:r>
    </w:p>
    <w:p>
      <w:pPr>
        <w:pStyle w:val="2"/>
        <w:jc w:val="center"/>
      </w:pPr>
      <w:r>
        <w:rPr>
          <w:sz w:val="20"/>
        </w:rPr>
        <w:t xml:space="preserve">АРТЕМОВСКОГО ГОРОДСКОГО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Артемовского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21.02.2020 </w:t>
            </w:r>
            <w:hyperlink w:history="0" r:id="rId7" w:tooltip="Постановление Администрации Артемовского городского округа от 21.02.2020 N 178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178-ПА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8" w:tooltip="Постановление Администрации Артемовского городского округа от 12.02.2021 N 86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9" w:tooltip="Постановление Администрации Артемовского городского округа от 14.02.2022 N 133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133-ПА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w:history="0" r:id="rId11" w:tooltip="Решение Думы Артемовского городского округа от 29.08.2013 N 340 (ред. от 27.11.2014) &quot;О принятии Положения об аренде имущества, находящегося в собственности Артемовского городского округа&quot; {КонсультантПлюс}">
        <w:r>
          <w:rPr>
            <w:sz w:val="20"/>
            <w:color w:val="0000ff"/>
          </w:rPr>
          <w:t xml:space="preserve">пунктом 2 статьи 5</w:t>
        </w:r>
      </w:hyperlink>
      <w:r>
        <w:rPr>
          <w:sz w:val="20"/>
        </w:rPr>
        <w:t xml:space="preserve"> Положения об аренде имущества, находящегося в собственности Артемовского городского округа, принятого Решением Думы Артемовского городского округа от 29.08.2013 N 340 (с изменениями), учитывая индекс потребительских цен в Свердловской области, размещенный на официальном сайте Управления Федеральной службы государственной статистики по Свердловской области и Курганской области, руководствуясь </w:t>
      </w:r>
      <w:hyperlink w:history="0" r:id="rId12" w:tooltip="Решение Артемовской Думы от 16.06.2005 N 530 (ред. от 24.02.2022) &quot;О принятии Устава Артемовского городского округа&quot; (Зарегистрировано в ГУ Минюста РФ по Уральскому федеральному округу 31.10.2005 N RU663590002005093) {КонсультантПлюс}">
        <w:r>
          <w:rPr>
            <w:sz w:val="20"/>
            <w:color w:val="0000ff"/>
          </w:rPr>
          <w:t xml:space="preserve">статьями 30</w:t>
        </w:r>
      </w:hyperlink>
      <w:r>
        <w:rPr>
          <w:sz w:val="20"/>
        </w:rPr>
        <w:t xml:space="preserve">, </w:t>
      </w:r>
      <w:hyperlink w:history="0" r:id="rId13" w:tooltip="Решение Артемовской Думы от 16.06.2005 N 530 (ред. от 24.02.2022) &quot;О принятии Устава Артемовского городского округа&quot; (Зарегистрировано в ГУ Минюста РФ по Уральскому федеральному округу 31.10.2005 N RU663590002005093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Устава Артемовского городского округа,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Администрации Артемовского городского округа от 22.02.2018 N 202-ПА &quot;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Артемовского городского округа от 22.02.2018 N 202-ПА "Об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01.03.2019.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Артемовского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А.В.САМОЧЕРНОВ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Артемовского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от 12 февраля 2019 г. N 143-ПА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АРЕНДНОЙ ПЛАТЫ ЗА ПОЛЬЗОВАНИЕ ЗДАНИЯМИ,</w:t>
      </w:r>
    </w:p>
    <w:p>
      <w:pPr>
        <w:pStyle w:val="2"/>
        <w:jc w:val="center"/>
      </w:pPr>
      <w:r>
        <w:rPr>
          <w:sz w:val="20"/>
        </w:rPr>
        <w:t xml:space="preserve">НЕЖИЛЫМИ ПОМЕЩЕНИЯМИ, КОМПЛЕКСАМИ ИМУЩЕСТВА,</w:t>
      </w:r>
    </w:p>
    <w:p>
      <w:pPr>
        <w:pStyle w:val="2"/>
        <w:jc w:val="center"/>
      </w:pPr>
      <w:r>
        <w:rPr>
          <w:sz w:val="20"/>
        </w:rPr>
        <w:t xml:space="preserve">СОСТАВЛЯЮЩИМИ МУНИЦИПАЛЬНУЮ КАЗНУ</w:t>
      </w:r>
    </w:p>
    <w:p>
      <w:pPr>
        <w:pStyle w:val="2"/>
        <w:jc w:val="center"/>
      </w:pPr>
      <w:r>
        <w:rPr>
          <w:sz w:val="20"/>
        </w:rPr>
        <w:t xml:space="preserve">АРТЕМОВСКОГО ГОРОДСКОГО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Артемовского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21.02.2020 </w:t>
            </w:r>
            <w:hyperlink w:history="0" r:id="rId15" w:tooltip="Постановление Администрации Артемовского городского округа от 21.02.2020 N 178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178-ПА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16" w:tooltip="Постановление Администрации Артемовского городского округа от 12.02.2021 N 86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7" w:tooltip="Постановление Администрации Артемовского городского округа от 14.02.2022 N 133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133-ПА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Расчет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 (далее по тексту - Объект) (за исключением объектов, указанных в </w:t>
      </w:r>
      <w:hyperlink w:history="0" w:anchor="P80" w:tooltip="2. Арендная плата за комплекс имущества, в том числе здания, сооружения, оборудование, транспорт и иное имущество, используемое для сельскохозяйственного производства, охотничества, рыболовства и обслуживания объектов жилищно-коммунального хозяйства, функционирования объектов культуры, здравоохранения и образования, устанавливается в соответствии с Приложением N 1 к Порядку определения арендной платы за пользование зданиями, нежилыми помещениями, комплексами имущества, составляющими муниципальную казну А..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81" w:tooltip="3. В случае передачи арендатором муниципального имущества в субаренду в порядке, установленном муниципальными правовыми актами Артемовского городского округа, на площади, сдаваемые в субаренду, при расчете арендной платы, дополнительно применяется повышающий коэффициент, равный 1,5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Порядка), производится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АП = S x (БС x К1 x К2 x К3 x К4 x К5) + НДС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АП - 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площадь объекта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БС - базовая ставка аренды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К1, К2, К3, К4, К5 - коэффициенты, соответствующие характеристикам объекта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НДС - налог на добавленную стоимость по ставке, установленной Налоговым </w:t>
      </w:r>
      <w:hyperlink w:history="0" r:id="rId18" w:tooltip="&quot;Налоговый кодекс Российской Федерации (часть первая)&quot; от 31.07.1998 N 146-ФЗ (ред. от 28.05.2022) (с изм. и доп., вступ. в силу с 01.06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БС - базовая ставка аренды объекта, устанавливается в соответствии с </w:t>
      </w:r>
      <w:hyperlink w:history="0" w:anchor="P92" w:tooltip="Прилож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Порядку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К1 - коэффициент, учитывающий место расположения объекта по районам: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черте города в соответствии с распределением территорий города Артемовский, утвержденным Решением Малого Совета от 07.10.1993 N 93 "Об установлении ставок земельного налога":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- 3,0 - район N 1, район N 2, район N 3 (ул. Уральская, Декабристов, Техническая), район N 26 (до ул. Короленко), район N 27, район N 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- 2,0 - район N 4 (ул. Молодежи), район N 9 (от границ 2 района до ул. Чернышевского), район N 10, район N 15 (ул. Станиславского), район N 8, район N 20 (до ул. Танкистов), оставшаяся часть района N 26, район N 36;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- 1,5 - район N 5 (до ул. Шахтеров), район N 4 (от ул. Молодежи до АЗС);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- 1,4 - районы N 7, N 8, N 11, N 17, N 19, N 24, N 25, N 31, N 32, N 38, N 42, N 44, оставшаяся часть районов N 3, N 4, N 5, N 9, N 20, N 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2,0 - для поселков и других сельских населенных пунктов, расположенных на территории Артемовского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К2 - коэффициент, учитывающий расположение арендуемого объекта: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1 - при расположении внутри здания и для отдельно стоящих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0,8 - при расположении в полуподвальном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0,6 - при расположении в подвале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К3 - коэффициент, учитывающий характер использования арендуемого объекта: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3,0 - для биржевой, банковской, финансовой, страховой деятельности, посреднической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2,0 - для торговли, проектирования, офисов, объектов общественного питания (кафе, бары), услуг связи, пилорам;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1,5 - для складских помещений, гаражей;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1,0 - для производства товаров народного потребления, для оказания услуг по бытовому обслуживанию населения, для издательской деятельности, для органов государственной власти, для осуществления аптечного обслуживания и медицинской деятельности лицами, имеющими лицензию на право заниматься медицинской деятельностью, для физкультурно-оздоровительной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0,8 - для помещений, используемых под объекты общественного питания (столовых, закусочных), платных услуг по переквалификации и обучению граждан, для прочих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0,5 - для образовательных организаций, для образовательных организаций дополнительного профессионального образования по развитию технических и военно-прикладных видов спорта, для платных кружков работы с детьми, для услуг почты, для организаций, проводящих бесплатную социальную, педагогическую и досуговую работу с детьми и молодежью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К4 - коэффициент, учитывающий степень экономического развития населенного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г. Артемовского (улицы Мира, Ленина, Гагарина) - 1,5;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г. Артемовского (кроме улиц Мира, Ленина, Гагарина) - 1;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п. Буланаш, п. Красногвардейский, с. Покровское - 0,8;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п. Сосновый Бор, с. Писанец, с. Большое Трифоново, с. Мостовского - 0,4;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с. Мироново, п. Незевай, с. Лебедкино, с. Шогринское - 0,1.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К5 - коэффициент, учитывающий льготу для общественных организаций инвалидов и индивидуальных предпринимателей, являющихся инвалидами: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0,8 - для льготных категорий;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1 - для всех остальных категорий.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Арендная плата за комплекс имущества, в том числе здания, сооружения, оборудование, транспорт и иное имущество, используемое для сельскохозяйственного производства, охотничества, рыболовства и обслуживания объектов жилищно-коммунального хозяйства, функционирования объектов культуры, здравоохранения и образования, устанавливается в соответствии с </w:t>
      </w:r>
      <w:hyperlink w:history="0" w:anchor="P92" w:tooltip="Прилож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Порядку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передачи арендатором муниципального имущества в субаренду в порядке, установленном муниципальными правовыми актами Артемовского городского округа, на площади, сдаваемые в субаренду, при расчете арендной платы, дополнительно применяется повышающий коэффициент, равный 1,5.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управлению муниципальным имуществом</w:t>
      </w:r>
    </w:p>
    <w:p>
      <w:pPr>
        <w:pStyle w:val="0"/>
        <w:jc w:val="right"/>
      </w:pPr>
      <w:r>
        <w:rPr>
          <w:sz w:val="20"/>
        </w:rPr>
        <w:t xml:space="preserve">Артемовского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В.А.ЮСУПОВА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bookmarkStart w:id="92" w:name="P92"/>
    <w:bookmarkEnd w:id="92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арендной платы</w:t>
      </w:r>
    </w:p>
    <w:p>
      <w:pPr>
        <w:pStyle w:val="0"/>
        <w:jc w:val="right"/>
      </w:pPr>
      <w:r>
        <w:rPr>
          <w:sz w:val="20"/>
        </w:rPr>
        <w:t xml:space="preserve">за пользование зданиями, нежилыми</w:t>
      </w:r>
    </w:p>
    <w:p>
      <w:pPr>
        <w:pStyle w:val="0"/>
        <w:jc w:val="right"/>
      </w:pPr>
      <w:r>
        <w:rPr>
          <w:sz w:val="20"/>
        </w:rPr>
        <w:t xml:space="preserve">помещениями, комплексами имущества,</w:t>
      </w:r>
    </w:p>
    <w:p>
      <w:pPr>
        <w:pStyle w:val="0"/>
        <w:jc w:val="right"/>
      </w:pPr>
      <w:r>
        <w:rPr>
          <w:sz w:val="20"/>
        </w:rPr>
        <w:t xml:space="preserve">составляющими муниципальную казну</w:t>
      </w:r>
    </w:p>
    <w:p>
      <w:pPr>
        <w:pStyle w:val="0"/>
        <w:jc w:val="right"/>
      </w:pPr>
      <w:r>
        <w:rPr>
          <w:sz w:val="20"/>
        </w:rPr>
        <w:t xml:space="preserve">Артемовского городского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Администрации Артемовского городского округа от 14.02.2022 N 133-ПА &quot;О внесении изменений в Порядок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Артемовского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N 133-ПА)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1927"/>
        <w:gridCol w:w="680"/>
        <w:gridCol w:w="1417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 показателя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Базовая ставка арендной платы</w:t>
            </w:r>
          </w:p>
        </w:tc>
        <w:tc>
          <w:tcPr>
            <w:gridSpan w:val="2"/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 в год/кв. м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комплекс имущества, в том числе здания, сооружения, оборудование, транспорт и иное имущество, используемое для сельскохозяйственного производства, охотничества и рыболовства, обслуживания объектов жилищно-коммунального хозяйства, функционирования объектов культуры, здравоохранения и образования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Артемовский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 в месяц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населенные пункты, расположенные на территории Артемовского городского округа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Артемовского городского округа от 12.02.2019 N 143-ПА</w:t>
            <w:br/>
            <w:t>(ред. от 14.02.2022)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FD768E54BDAE66E8A6F0F30933BFE798ACCE34424527AE285B84AF54240195C8F5CAA25305EF7061F86606DAED0563387A47D55E92282DD8E572D3DFOAL" TargetMode = "External"/>
	<Relationship Id="rId8" Type="http://schemas.openxmlformats.org/officeDocument/2006/relationships/hyperlink" Target="consultantplus://offline/ref=CEFD768E54BDAE66E8A6F0F30933BFE798ACCE34424B21AD2C5984AF54240195C8F5CAA25305EF7061F86606DAED0563387A47D55E92282DD8E572D3DFOAL" TargetMode = "External"/>
	<Relationship Id="rId9" Type="http://schemas.openxmlformats.org/officeDocument/2006/relationships/hyperlink" Target="consultantplus://offline/ref=CEFD768E54BDAE66E8A6F0F30933BFE798ACCE34434023AC275D84AF54240195C8F5CAA25305EF7061F86606DAED0563387A47D55E92282DD8E572D3DFOAL" TargetMode = "External"/>
	<Relationship Id="rId10" Type="http://schemas.openxmlformats.org/officeDocument/2006/relationships/hyperlink" Target="consultantplus://offline/ref=CEFD768E54BDAE66E8A6EEFE1F5FE1ED9DA7953143402DFA720982F80B7407C09AB594FB1243FC7167E66406DDDEO4L" TargetMode = "External"/>
	<Relationship Id="rId11" Type="http://schemas.openxmlformats.org/officeDocument/2006/relationships/hyperlink" Target="consultantplus://offline/ref=CEFD768E54BDAE66E8A6F0F30933BFE798ACCE3442442EAA2C5E84AF54240195C8F5CAA25305EF7061F86707D8ED0563387A47D55E92282DD8E572D3DFOAL" TargetMode = "External"/>
	<Relationship Id="rId12" Type="http://schemas.openxmlformats.org/officeDocument/2006/relationships/hyperlink" Target="consultantplus://offline/ref=CEFD768E54BDAE66E8A6F0F30933BFE798ACCE34434020AE285B84AF54240195C8F5CAA25305EF7061F8620FDFED0563387A47D55E92282DD8E572D3DFOAL" TargetMode = "External"/>
	<Relationship Id="rId13" Type="http://schemas.openxmlformats.org/officeDocument/2006/relationships/hyperlink" Target="consultantplus://offline/ref=CEFD768E54BDAE66E8A6F0F30933BFE798ACCE34434020AE285B84AF54240195C8F5CAA25305EF7061F9630FD7ED0563387A47D55E92282DD8E572D3DFOAL" TargetMode = "External"/>
	<Relationship Id="rId14" Type="http://schemas.openxmlformats.org/officeDocument/2006/relationships/hyperlink" Target="consultantplus://offline/ref=CEFD768E54BDAE66E8A6F0F30933BFE798ACCE34424026A8275A84AF54240195C8F5CAA24105B77C63FA7806D9F853327ED2ODL" TargetMode = "External"/>
	<Relationship Id="rId15" Type="http://schemas.openxmlformats.org/officeDocument/2006/relationships/hyperlink" Target="consultantplus://offline/ref=CEFD768E54BDAE66E8A6F0F30933BFE798ACCE34424527AE285B84AF54240195C8F5CAA25305EF7061F86606DAED0563387A47D55E92282DD8E572D3DFOAL" TargetMode = "External"/>
	<Relationship Id="rId16" Type="http://schemas.openxmlformats.org/officeDocument/2006/relationships/hyperlink" Target="consultantplus://offline/ref=CEFD768E54BDAE66E8A6F0F30933BFE798ACCE34424B21AD2C5984AF54240195C8F5CAA25305EF7061F86606DAED0563387A47D55E92282DD8E572D3DFOAL" TargetMode = "External"/>
	<Relationship Id="rId17" Type="http://schemas.openxmlformats.org/officeDocument/2006/relationships/hyperlink" Target="consultantplus://offline/ref=CEFD768E54BDAE66E8A6F0F30933BFE798ACCE34434023AC275D84AF54240195C8F5CAA25305EF7061F86606DAED0563387A47D55E92282DD8E572D3DFOAL" TargetMode = "External"/>
	<Relationship Id="rId18" Type="http://schemas.openxmlformats.org/officeDocument/2006/relationships/hyperlink" Target="consultantplus://offline/ref=CEFD768E54BDAE66E8A6EEFE1F5FE1ED9DA6963A45472DFA720982F80B7407C09AB594FB1243FC7167E66406DDDEO4L" TargetMode = "External"/>
	<Relationship Id="rId19" Type="http://schemas.openxmlformats.org/officeDocument/2006/relationships/hyperlink" Target="consultantplus://offline/ref=CEFD768E54BDAE66E8A6F0F30933BFE798ACCE34434023AC275D84AF54240195C8F5CAA25305EF7061F86606DAED0563387A47D55E92282DD8E572D3DFO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12.02.2019 N 143-ПА
(ред. от 14.02.2022)
"Об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округа"</dc:title>
  <dcterms:created xsi:type="dcterms:W3CDTF">2022-06-22T11:14:03Z</dcterms:created>
</cp:coreProperties>
</file>